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41D7" w:rsidRDefault="00B441D7" w:rsidP="00B416E0">
                  <w:pPr>
                    <w:spacing w:after="0" w:line="240" w:lineRule="auto"/>
                    <w:jc w:val="center"/>
                    <w:rPr>
                      <w:rFonts w:ascii="Comic Sans MS" w:hAnsi="Comic Sans MS"/>
                      <w:b/>
                      <w:i/>
                      <w:noProof/>
                      <w:sz w:val="32"/>
                      <w:szCs w:val="32"/>
                    </w:rPr>
                  </w:pPr>
                  <w:r>
                    <w:rPr>
                      <w:rFonts w:ascii="Comic Sans MS" w:hAnsi="Comic Sans MS"/>
                      <w:b/>
                      <w:i/>
                      <w:noProof/>
                      <w:sz w:val="32"/>
                      <w:szCs w:val="32"/>
                    </w:rPr>
                    <w:t xml:space="preserve">UIT DIE PEN VAN </w:t>
                  </w:r>
                </w:p>
                <w:p w:rsidR="00B416E0" w:rsidRDefault="00B441D7" w:rsidP="00B416E0">
                  <w:pPr>
                    <w:spacing w:after="0" w:line="240" w:lineRule="auto"/>
                    <w:jc w:val="center"/>
                    <w:rPr>
                      <w:rFonts w:ascii="Comic Sans MS" w:hAnsi="Comic Sans MS"/>
                      <w:b/>
                      <w:i/>
                      <w:noProof/>
                      <w:sz w:val="32"/>
                      <w:szCs w:val="32"/>
                    </w:rPr>
                  </w:pPr>
                  <w:r>
                    <w:rPr>
                      <w:rFonts w:ascii="Comic Sans MS" w:hAnsi="Comic Sans MS"/>
                      <w:b/>
                      <w:i/>
                      <w:noProof/>
                      <w:sz w:val="32"/>
                      <w:szCs w:val="32"/>
                    </w:rPr>
                    <w:t xml:space="preserve">DIE </w:t>
                  </w:r>
                  <w:r w:rsidR="00B416E0" w:rsidRPr="005D3571">
                    <w:rPr>
                      <w:rFonts w:ascii="Comic Sans MS" w:hAnsi="Comic Sans MS"/>
                      <w:b/>
                      <w:i/>
                      <w:noProof/>
                      <w:sz w:val="32"/>
                      <w:szCs w:val="32"/>
                    </w:rPr>
                    <w:t>CEO</w:t>
                  </w:r>
                  <w:r w:rsidR="008F330B">
                    <w:rPr>
                      <w:rFonts w:ascii="Comic Sans MS" w:hAnsi="Comic Sans MS"/>
                      <w:b/>
                      <w:i/>
                      <w:noProof/>
                      <w:sz w:val="32"/>
                      <w:szCs w:val="32"/>
                    </w:rPr>
                    <w:t xml:space="preserve"> (36</w:t>
                  </w:r>
                  <w:r w:rsidR="00B416E0">
                    <w:rPr>
                      <w:rFonts w:ascii="Comic Sans MS" w:hAnsi="Comic Sans MS"/>
                      <w:b/>
                      <w:i/>
                      <w:noProof/>
                      <w:sz w:val="32"/>
                      <w:szCs w:val="32"/>
                    </w:rPr>
                    <w:t>/18)</w:t>
                  </w:r>
                </w:p>
                <w:p w:rsidR="00B416E0" w:rsidRPr="00753377" w:rsidRDefault="00B416E0" w:rsidP="00B416E0">
                  <w:pPr>
                    <w:spacing w:after="0" w:line="240" w:lineRule="auto"/>
                    <w:rPr>
                      <w:rFonts w:ascii="Comic Sans MS" w:hAnsi="Comic Sans MS"/>
                      <w:b/>
                      <w:noProof/>
                      <w:color w:val="00B050"/>
                      <w:sz w:val="20"/>
                      <w:szCs w:val="20"/>
                    </w:rPr>
                  </w:pPr>
                  <w:r w:rsidRPr="00753377">
                    <w:rPr>
                      <w:rFonts w:ascii="Comic Sans MS" w:hAnsi="Comic Sans MS"/>
                      <w:b/>
                      <w:noProof/>
                      <w:color w:val="00B050"/>
                      <w:sz w:val="20"/>
                      <w:szCs w:val="20"/>
                    </w:rPr>
                    <w:t>(</w:t>
                  </w:r>
                  <w:r w:rsidR="00B441D7">
                    <w:rPr>
                      <w:rFonts w:ascii="Comic Sans MS" w:hAnsi="Comic Sans MS"/>
                      <w:b/>
                      <w:noProof/>
                      <w:color w:val="00B050"/>
                      <w:sz w:val="20"/>
                      <w:szCs w:val="20"/>
                    </w:rPr>
                    <w:t xml:space="preserve">Volg my op </w:t>
                  </w:r>
                  <w:r w:rsidRPr="00753377">
                    <w:rPr>
                      <w:rFonts w:ascii="Comic Sans MS" w:hAnsi="Comic Sans MS"/>
                      <w:b/>
                      <w:noProof/>
                      <w:color w:val="00B050"/>
                      <w:sz w:val="20"/>
                      <w:szCs w:val="20"/>
                    </w:rPr>
                    <w:t>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E36139">
                  <w:pPr>
                    <w:spacing w:after="120" w:line="240" w:lineRule="auto"/>
                    <w:rPr>
                      <w:rFonts w:ascii="Comic Sans MS" w:hAnsi="Comic Sans MS"/>
                      <w:i/>
                      <w:sz w:val="20"/>
                      <w:szCs w:val="20"/>
                    </w:rPr>
                  </w:pPr>
                  <w:r>
                    <w:rPr>
                      <w:rFonts w:ascii="Comic Sans MS" w:hAnsi="Comic Sans MS"/>
                      <w:i/>
                      <w:sz w:val="20"/>
                      <w:szCs w:val="20"/>
                    </w:rPr>
                    <w:t xml:space="preserve">Justin Chadwick </w:t>
                  </w:r>
                  <w:r w:rsidR="000E7341">
                    <w:rPr>
                      <w:rFonts w:ascii="Comic Sans MS" w:hAnsi="Comic Sans MS"/>
                      <w:i/>
                      <w:sz w:val="20"/>
                      <w:szCs w:val="20"/>
                    </w:rPr>
                    <w:t>7</w:t>
                  </w:r>
                  <w:r w:rsidR="008F330B">
                    <w:rPr>
                      <w:rFonts w:ascii="Comic Sans MS" w:hAnsi="Comic Sans MS"/>
                      <w:i/>
                      <w:sz w:val="20"/>
                      <w:szCs w:val="20"/>
                    </w:rPr>
                    <w:t xml:space="preserve"> September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Default="00B636C9" w:rsidP="00A072C8">
                  <w:pPr>
                    <w:pStyle w:val="NormalWeb"/>
                    <w:widowControl w:val="0"/>
                    <w:spacing w:before="0" w:beforeAutospacing="0" w:after="0" w:afterAutospacing="0"/>
                    <w:jc w:val="both"/>
                    <w:rPr>
                      <w:rFonts w:ascii="Arial" w:hAnsi="Arial" w:cs="Arial"/>
                      <w:b/>
                      <w:i/>
                      <w:color w:val="auto"/>
                    </w:rPr>
                  </w:pPr>
                  <w:r w:rsidRPr="009C1790">
                    <w:rPr>
                      <w:rFonts w:ascii="Arial" w:hAnsi="Arial" w:cs="Arial"/>
                      <w:b/>
                      <w:i/>
                      <w:color w:val="auto"/>
                    </w:rPr>
                    <w:t>“</w:t>
                  </w:r>
                  <w:r w:rsidR="009C1790" w:rsidRPr="009C1790">
                    <w:rPr>
                      <w:rFonts w:ascii="Arial" w:hAnsi="Arial" w:cs="Arial"/>
                      <w:b/>
                      <w:i/>
                      <w:color w:val="auto"/>
                    </w:rPr>
                    <w:t xml:space="preserve">Europe is made of history, America of philosophy, Asia of prosperity, and Africa of opportunity” Sami </w:t>
                  </w:r>
                  <w:proofErr w:type="spellStart"/>
                  <w:r w:rsidR="009C1790" w:rsidRPr="009C1790">
                    <w:rPr>
                      <w:rFonts w:ascii="Arial" w:hAnsi="Arial" w:cs="Arial"/>
                      <w:b/>
                      <w:i/>
                      <w:color w:val="auto"/>
                    </w:rPr>
                    <w:t>Leino</w:t>
                  </w:r>
                  <w:proofErr w:type="spellEnd"/>
                </w:p>
                <w:p w:rsidR="00B441D7" w:rsidRDefault="00B441D7" w:rsidP="00A072C8">
                  <w:pPr>
                    <w:pStyle w:val="NormalWeb"/>
                    <w:widowControl w:val="0"/>
                    <w:spacing w:before="0" w:beforeAutospacing="0" w:after="0" w:afterAutospacing="0"/>
                    <w:jc w:val="both"/>
                    <w:rPr>
                      <w:rFonts w:ascii="Arial" w:hAnsi="Arial" w:cs="Arial"/>
                      <w:b/>
                      <w:i/>
                      <w:color w:val="auto"/>
                    </w:rPr>
                  </w:pPr>
                </w:p>
                <w:p w:rsidR="00B441D7" w:rsidRPr="00123721" w:rsidRDefault="00B441D7" w:rsidP="00B441D7">
                  <w:pPr>
                    <w:pStyle w:val="PlainText"/>
                    <w:jc w:val="both"/>
                    <w:rPr>
                      <w:rFonts w:ascii="Arial" w:hAnsi="Arial" w:cs="Arial"/>
                      <w:b/>
                      <w:noProof/>
                      <w:color w:val="0070C0"/>
                      <w:sz w:val="22"/>
                      <w:szCs w:val="24"/>
                      <w:u w:val="single"/>
                      <w:lang w:val="af-ZA"/>
                    </w:rPr>
                  </w:pPr>
                  <w:r w:rsidRPr="00123721">
                    <w:rPr>
                      <w:rFonts w:ascii="Arial" w:hAnsi="Arial" w:cs="Arial"/>
                      <w:b/>
                      <w:noProof/>
                      <w:color w:val="0070C0"/>
                      <w:sz w:val="22"/>
                      <w:szCs w:val="24"/>
                      <w:u w:val="single"/>
                      <w:lang w:val="af-ZA"/>
                    </w:rPr>
                    <w:t>CGA LOGISTIEKE STRATEGIESE SESSIES</w:t>
                  </w:r>
                </w:p>
                <w:p w:rsidR="00B441D7" w:rsidRPr="00123721" w:rsidRDefault="00B441D7" w:rsidP="00B441D7">
                  <w:pPr>
                    <w:pStyle w:val="PlainText"/>
                    <w:jc w:val="both"/>
                    <w:rPr>
                      <w:rFonts w:ascii="Arial" w:hAnsi="Arial" w:cs="Arial"/>
                      <w:noProof/>
                      <w:sz w:val="22"/>
                      <w:szCs w:val="24"/>
                      <w:lang w:val="af-ZA"/>
                    </w:rPr>
                  </w:pPr>
                  <w:r w:rsidRPr="00123721">
                    <w:rPr>
                      <w:rFonts w:ascii="Arial" w:hAnsi="Arial" w:cs="Arial"/>
                      <w:noProof/>
                      <w:sz w:val="22"/>
                      <w:szCs w:val="24"/>
                      <w:lang w:val="af-ZA"/>
                    </w:rPr>
                    <w:t xml:space="preserve">Mitchell Brooke is besig om met produsente en uitvoerders oor die CGA se Noordelike Streke 5 Punt Logistieke Plan te vergader. Hy het voorgestel dat produsente en uitvoerders wat graag logistieke strategieë persoonlik met hom wil bespreek, hom moet kontak. Hy reis volgende week na Kaapstad en is beskikbaar om met uitvoerders, op versoek, te vergader. E-pos </w:t>
                  </w:r>
                  <w:hyperlink r:id="rId7" w:history="1">
                    <w:r w:rsidRPr="00123721">
                      <w:rPr>
                        <w:rStyle w:val="Hyperlink"/>
                        <w:rFonts w:ascii="Arial" w:hAnsi="Arial" w:cs="Arial"/>
                        <w:noProof/>
                        <w:sz w:val="22"/>
                        <w:szCs w:val="24"/>
                        <w:lang w:val="af-ZA"/>
                      </w:rPr>
                      <w:t>mitchell@cga.co.za</w:t>
                    </w:r>
                  </w:hyperlink>
                  <w:r w:rsidRPr="00123721">
                    <w:rPr>
                      <w:rFonts w:ascii="Arial" w:hAnsi="Arial" w:cs="Arial"/>
                      <w:noProof/>
                      <w:sz w:val="22"/>
                      <w:szCs w:val="24"/>
                      <w:lang w:val="af-ZA"/>
                    </w:rPr>
                    <w:t>.</w:t>
                  </w:r>
                </w:p>
                <w:p w:rsidR="00B441D7" w:rsidRPr="00880362" w:rsidRDefault="00B441D7" w:rsidP="00DA1096">
                  <w:pPr>
                    <w:pStyle w:val="NormalWeb"/>
                    <w:widowControl w:val="0"/>
                    <w:spacing w:before="0" w:beforeAutospacing="0" w:after="0" w:afterAutospacing="0"/>
                    <w:jc w:val="both"/>
                    <w:rPr>
                      <w:rFonts w:ascii="Arial" w:hAnsi="Arial" w:cs="Arial"/>
                      <w:b/>
                      <w:color w:val="0070C0"/>
                      <w:sz w:val="22"/>
                      <w:u w:val="single"/>
                    </w:rPr>
                  </w:pPr>
                  <w:r w:rsidRPr="00880362">
                    <w:rPr>
                      <w:rFonts w:ascii="Arial" w:hAnsi="Arial" w:cs="Arial"/>
                      <w:b/>
                      <w:color w:val="0070C0"/>
                      <w:sz w:val="22"/>
                      <w:u w:val="single"/>
                    </w:rPr>
                    <w:t>VARIȄTEITSFOKUSGROEP VERGADERING</w:t>
                  </w:r>
                  <w:r w:rsidR="003C6987">
                    <w:rPr>
                      <w:rFonts w:ascii="Arial" w:hAnsi="Arial" w:cs="Arial"/>
                      <w:b/>
                      <w:color w:val="0070C0"/>
                      <w:sz w:val="22"/>
                      <w:u w:val="single"/>
                    </w:rPr>
                    <w:t>S SE</w:t>
                  </w:r>
                  <w:r w:rsidRPr="00880362">
                    <w:rPr>
                      <w:rFonts w:ascii="Arial" w:hAnsi="Arial" w:cs="Arial"/>
                      <w:b/>
                      <w:color w:val="0070C0"/>
                      <w:sz w:val="22"/>
                      <w:u w:val="single"/>
                    </w:rPr>
                    <w:t xml:space="preserve"> NOTULES</w:t>
                  </w:r>
                </w:p>
                <w:p w:rsidR="00B441D7" w:rsidRPr="00880362" w:rsidRDefault="00B441D7" w:rsidP="00DA1096">
                  <w:pPr>
                    <w:pStyle w:val="NormalWeb"/>
                    <w:widowControl w:val="0"/>
                    <w:spacing w:before="0" w:beforeAutospacing="0" w:after="0" w:afterAutospacing="0"/>
                    <w:jc w:val="both"/>
                    <w:rPr>
                      <w:rFonts w:ascii="Arial" w:hAnsi="Arial" w:cs="Arial"/>
                      <w:noProof/>
                      <w:color w:val="auto"/>
                      <w:sz w:val="22"/>
                      <w:lang w:val="af-ZA"/>
                    </w:rPr>
                  </w:pPr>
                  <w:r w:rsidRPr="00880362">
                    <w:rPr>
                      <w:rFonts w:ascii="Arial" w:hAnsi="Arial" w:cs="Arial"/>
                      <w:noProof/>
                      <w:color w:val="auto"/>
                      <w:sz w:val="22"/>
                      <w:lang w:val="af-ZA"/>
                    </w:rPr>
                    <w:t xml:space="preserve">Produsente is baie verskuldig aan diegene wat hulle gekies het om hul op die variëteitsfokusgroepe te verteenwoordig. Hierdie groepe vergader ten minste een keer per maand gedurende die seisoen. Onderwerpe wat gedek word, sluit die opdatering van die voorspelde uitvoervolume, marktoestande, vrugkwaliteit en enige ander kwessie in wat daardie variëteit raak. John Edmonds berei uitstekende notules van hierdie vergaderings voor, wat dan op die </w:t>
                  </w:r>
                  <w:r w:rsidR="003C6987">
                    <w:rPr>
                      <w:rFonts w:ascii="Arial" w:hAnsi="Arial" w:cs="Arial"/>
                      <w:noProof/>
                      <w:color w:val="auto"/>
                      <w:sz w:val="22"/>
                      <w:lang w:val="af-ZA"/>
                    </w:rPr>
                    <w:t>“</w:t>
                  </w:r>
                  <w:r w:rsidRPr="00880362">
                    <w:rPr>
                      <w:rFonts w:ascii="Arial" w:hAnsi="Arial" w:cs="Arial"/>
                      <w:noProof/>
                      <w:color w:val="auto"/>
                      <w:sz w:val="22"/>
                      <w:lang w:val="af-ZA"/>
                    </w:rPr>
                    <w:t>slegs vir lede afdeling</w:t>
                  </w:r>
                  <w:r w:rsidR="003C6987">
                    <w:rPr>
                      <w:rFonts w:ascii="Arial" w:hAnsi="Arial" w:cs="Arial"/>
                      <w:noProof/>
                      <w:color w:val="auto"/>
                      <w:sz w:val="22"/>
                      <w:lang w:val="af-ZA"/>
                    </w:rPr>
                    <w:t>”</w:t>
                  </w:r>
                  <w:r w:rsidRPr="00880362">
                    <w:rPr>
                      <w:rFonts w:ascii="Arial" w:hAnsi="Arial" w:cs="Arial"/>
                      <w:noProof/>
                      <w:color w:val="auto"/>
                      <w:sz w:val="22"/>
                      <w:lang w:val="af-ZA"/>
                    </w:rPr>
                    <w:t xml:space="preserve"> van die CGA se webwerf (</w:t>
                  </w:r>
                  <w:r w:rsidRPr="003C6987">
                    <w:rPr>
                      <w:rFonts w:ascii="Arial" w:hAnsi="Arial" w:cs="Arial"/>
                      <w:noProof/>
                      <w:color w:val="auto"/>
                      <w:sz w:val="22"/>
                      <w:u w:val="single"/>
                      <w:lang w:val="af-ZA"/>
                    </w:rPr>
                    <w:t>www.cga.co.za</w:t>
                  </w:r>
                  <w:r w:rsidRPr="00880362">
                    <w:rPr>
                      <w:rFonts w:ascii="Arial" w:hAnsi="Arial" w:cs="Arial"/>
                      <w:noProof/>
                      <w:color w:val="auto"/>
                      <w:sz w:val="22"/>
                      <w:lang w:val="af-ZA"/>
                    </w:rPr>
                    <w:t>) geplaas word. Produsente word aangemoedig om na die notules te kyk en enige bespreking met hul fokusgroepverteenwoordigers op te neem. Vanjaar het die Nawel en Valencia variëteitsfokusgroepe gesamentlike vergaderings gehou</w:t>
                  </w:r>
                  <w:r w:rsidR="00DA1096" w:rsidRPr="00880362">
                    <w:rPr>
                      <w:rFonts w:ascii="Arial" w:hAnsi="Arial" w:cs="Arial"/>
                      <w:noProof/>
                      <w:color w:val="auto"/>
                      <w:sz w:val="22"/>
                      <w:lang w:val="af-ZA"/>
                    </w:rPr>
                    <w:t xml:space="preserve"> - </w:t>
                  </w:r>
                  <w:r w:rsidRPr="00880362">
                    <w:rPr>
                      <w:rFonts w:ascii="Arial" w:hAnsi="Arial" w:cs="Arial"/>
                      <w:noProof/>
                      <w:color w:val="auto"/>
                      <w:sz w:val="22"/>
                      <w:lang w:val="af-ZA"/>
                    </w:rPr>
                    <w:t>die notules van hierdie week se vergadering sal binnekort op die webwerf beskikbaar wees (indien nie alreeds nie).</w:t>
                  </w:r>
                </w:p>
                <w:p w:rsidR="00DA1096" w:rsidRPr="00880362" w:rsidRDefault="00DA1096" w:rsidP="00DA1096">
                  <w:pPr>
                    <w:pStyle w:val="NormalWeb"/>
                    <w:widowControl w:val="0"/>
                    <w:spacing w:before="0" w:beforeAutospacing="0" w:after="0" w:afterAutospacing="0"/>
                    <w:jc w:val="both"/>
                    <w:rPr>
                      <w:rFonts w:ascii="Arial" w:eastAsiaTheme="minorHAnsi" w:hAnsi="Arial" w:cs="Arial"/>
                      <w:b/>
                      <w:noProof/>
                      <w:color w:val="0070C0"/>
                      <w:sz w:val="20"/>
                      <w:u w:val="single"/>
                      <w:lang w:val="af-ZA" w:eastAsia="en-US"/>
                    </w:rPr>
                  </w:pPr>
                  <w:r w:rsidRPr="00880362">
                    <w:rPr>
                      <w:rFonts w:ascii="Arial" w:eastAsiaTheme="minorHAnsi" w:hAnsi="Arial" w:cs="Arial"/>
                      <w:b/>
                      <w:noProof/>
                      <w:color w:val="0070C0"/>
                      <w:sz w:val="20"/>
                      <w:u w:val="single"/>
                      <w:lang w:val="af-ZA" w:eastAsia="en-US"/>
                    </w:rPr>
                    <w:t>ASIAFRUIT LOGISTICA</w:t>
                  </w:r>
                </w:p>
                <w:p w:rsidR="00DA1096" w:rsidRPr="00880362" w:rsidRDefault="00DA1096" w:rsidP="00DA1096">
                  <w:pPr>
                    <w:pStyle w:val="NormalWeb"/>
                    <w:widowControl w:val="0"/>
                    <w:spacing w:before="0" w:beforeAutospacing="0" w:after="0" w:afterAutospacing="0"/>
                    <w:jc w:val="both"/>
                    <w:rPr>
                      <w:rFonts w:ascii="Arial" w:eastAsiaTheme="minorHAnsi" w:hAnsi="Arial" w:cs="Arial"/>
                      <w:noProof/>
                      <w:color w:val="auto"/>
                      <w:sz w:val="20"/>
                      <w:lang w:val="af-ZA" w:eastAsia="en-US"/>
                    </w:rPr>
                  </w:pPr>
                  <w:r w:rsidRPr="00880362">
                    <w:rPr>
                      <w:rFonts w:ascii="Arial" w:eastAsiaTheme="minorHAnsi" w:hAnsi="Arial" w:cs="Arial"/>
                      <w:noProof/>
                      <w:color w:val="auto"/>
                      <w:sz w:val="20"/>
                      <w:lang w:val="af-ZA" w:eastAsia="en-US"/>
                    </w:rPr>
                    <w:t>Hong Kong het die afgelope week weer die AsiaFruit Logistica handelsskou aangebied. Danksy DTI en FPEF</w:t>
                  </w:r>
                  <w:r w:rsidR="003C6987">
                    <w:rPr>
                      <w:rFonts w:ascii="Arial" w:eastAsiaTheme="minorHAnsi" w:hAnsi="Arial" w:cs="Arial"/>
                      <w:noProof/>
                      <w:color w:val="auto"/>
                      <w:sz w:val="20"/>
                      <w:lang w:val="af-ZA" w:eastAsia="en-US"/>
                    </w:rPr>
                    <w:t>,</w:t>
                  </w:r>
                  <w:r w:rsidRPr="00880362">
                    <w:rPr>
                      <w:rFonts w:ascii="Arial" w:eastAsiaTheme="minorHAnsi" w:hAnsi="Arial" w:cs="Arial"/>
                      <w:noProof/>
                      <w:color w:val="auto"/>
                      <w:sz w:val="20"/>
                      <w:lang w:val="af-ZA" w:eastAsia="en-US"/>
                    </w:rPr>
                    <w:t xml:space="preserve"> was die Suid-Afrikaanse stalletjie weereens goed ontwerp en baie besig. Wat opmerklik is, is die verbetering in ontwerpe van die verskillende lande se stalletjies - sowel as die grootte. Die stalletjie van Egipte was verseker baie groter as vorige jare, terwyl Spanje ook 'n merkbare teenwoordigheid gehad het.  Een van die hoogtepunte van die besoek is altyd die geleentheid om mede suidelike halfrond vars vrugte</w:t>
                  </w:r>
                  <w:r w:rsidR="003C6987">
                    <w:rPr>
                      <w:rFonts w:ascii="Arial" w:eastAsiaTheme="minorHAnsi" w:hAnsi="Arial" w:cs="Arial"/>
                      <w:noProof/>
                      <w:color w:val="auto"/>
                      <w:sz w:val="20"/>
                      <w:lang w:val="af-ZA" w:eastAsia="en-US"/>
                    </w:rPr>
                    <w:t>-</w:t>
                  </w:r>
                  <w:r w:rsidRPr="00880362">
                    <w:rPr>
                      <w:rFonts w:ascii="Arial" w:eastAsiaTheme="minorHAnsi" w:hAnsi="Arial" w:cs="Arial"/>
                      <w:noProof/>
                      <w:color w:val="auto"/>
                      <w:sz w:val="20"/>
                      <w:lang w:val="af-ZA" w:eastAsia="en-US"/>
                    </w:rPr>
                    <w:t>uitvoerders by die SHAFFE-vergadering te ontmoet (en die gebruiklike “Pisco sour” by die Peru-stalletjie). Danksy die hardwerkende SHAFFE-sekretariaat in die persoon van Nelli Hajdu, het ons baie interessante en relevante analises en inligting ontvang. Dit is altyd interessant om te sien wie wat in die mark instuur (aanbieding beskikbaar op aanvraag). Hieronder is 'n uit</w:t>
                  </w:r>
                  <w:r w:rsidR="003C6987">
                    <w:rPr>
                      <w:rFonts w:ascii="Arial" w:eastAsiaTheme="minorHAnsi" w:hAnsi="Arial" w:cs="Arial"/>
                      <w:noProof/>
                      <w:color w:val="auto"/>
                      <w:sz w:val="20"/>
                      <w:lang w:val="af-ZA" w:eastAsia="en-US"/>
                    </w:rPr>
                    <w:t>t</w:t>
                  </w:r>
                  <w:r w:rsidRPr="00880362">
                    <w:rPr>
                      <w:rFonts w:ascii="Arial" w:eastAsiaTheme="minorHAnsi" w:hAnsi="Arial" w:cs="Arial"/>
                      <w:noProof/>
                      <w:color w:val="auto"/>
                      <w:sz w:val="20"/>
                      <w:lang w:val="af-ZA" w:eastAsia="en-US"/>
                    </w:rPr>
                    <w:t>reksel uit die aanbieding.</w:t>
                  </w:r>
                </w:p>
                <w:p w:rsidR="00123721" w:rsidRDefault="00123721" w:rsidP="00DA1096">
                  <w:pPr>
                    <w:pStyle w:val="NormalWeb"/>
                    <w:widowControl w:val="0"/>
                    <w:spacing w:before="0" w:beforeAutospacing="0" w:after="0" w:afterAutospacing="0"/>
                    <w:jc w:val="both"/>
                    <w:rPr>
                      <w:rFonts w:ascii="Arial" w:eastAsiaTheme="minorHAnsi" w:hAnsi="Arial" w:cs="Arial"/>
                      <w:noProof/>
                      <w:color w:val="auto"/>
                      <w:sz w:val="22"/>
                      <w:lang w:val="af-ZA" w:eastAsia="en-US"/>
                    </w:rPr>
                  </w:pPr>
                </w:p>
                <w:p w:rsidR="001C164E" w:rsidRDefault="00123721" w:rsidP="00123721">
                  <w:pPr>
                    <w:pStyle w:val="NormalWeb"/>
                    <w:widowControl w:val="0"/>
                    <w:spacing w:before="0" w:beforeAutospacing="0" w:after="0" w:afterAutospacing="0"/>
                    <w:jc w:val="both"/>
                    <w:rPr>
                      <w:rFonts w:ascii="Arial" w:hAnsi="Arial" w:cs="Arial"/>
                      <w:color w:val="auto"/>
                      <w:sz w:val="20"/>
                    </w:rPr>
                  </w:pPr>
                  <w:r w:rsidRPr="001C164E">
                    <w:rPr>
                      <w:rFonts w:ascii="Arial" w:hAnsi="Arial" w:cs="Arial"/>
                      <w:noProof/>
                      <w:color w:val="auto"/>
                      <w:sz w:val="20"/>
                    </w:rPr>
                    <w:drawing>
                      <wp:inline distT="0" distB="0" distL="0" distR="0" wp14:anchorId="12CD0454" wp14:editId="5E2BC0D6">
                        <wp:extent cx="2619375" cy="22098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66492">
                    <w:rPr>
                      <w:rFonts w:ascii="Arial" w:hAnsi="Arial" w:cs="Arial"/>
                      <w:noProof/>
                      <w:color w:val="auto"/>
                      <w:sz w:val="20"/>
                    </w:rPr>
                    <w:t xml:space="preserve"> </w:t>
                  </w:r>
                  <w:r w:rsidRPr="00F66492">
                    <w:rPr>
                      <w:rFonts w:ascii="Arial" w:hAnsi="Arial" w:cs="Arial"/>
                      <w:noProof/>
                      <w:color w:val="auto"/>
                      <w:sz w:val="20"/>
                    </w:rPr>
                    <w:drawing>
                      <wp:inline distT="0" distB="0" distL="0" distR="0" wp14:anchorId="3686D51E" wp14:editId="6DAABFE1">
                        <wp:extent cx="3419475" cy="1942465"/>
                        <wp:effectExtent l="0" t="0" r="952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21" w:rsidRPr="00B636C9" w:rsidRDefault="00123721" w:rsidP="00123721">
                  <w:pPr>
                    <w:pStyle w:val="NormalWeb"/>
                    <w:widowControl w:val="0"/>
                    <w:spacing w:before="0" w:beforeAutospacing="0" w:after="0" w:afterAutospacing="0"/>
                    <w:jc w:val="both"/>
                    <w:rPr>
                      <w:rFonts w:ascii="Arial" w:hAnsi="Arial" w:cs="Arial"/>
                      <w:color w:val="auto"/>
                      <w:sz w:val="20"/>
                    </w:rPr>
                  </w:pPr>
                  <w:r w:rsidRPr="00F66492">
                    <w:rPr>
                      <w:rFonts w:ascii="Arial" w:hAnsi="Arial" w:cs="Arial"/>
                      <w:b/>
                      <w:i/>
                      <w:noProof/>
                      <w:color w:val="auto"/>
                      <w:sz w:val="20"/>
                    </w:rPr>
                    <mc:AlternateContent>
                      <mc:Choice Requires="wps">
                        <w:drawing>
                          <wp:anchor distT="45720" distB="45720" distL="114300" distR="114300" simplePos="0" relativeHeight="251663360" behindDoc="0" locked="0" layoutInCell="1" allowOverlap="1" wp14:anchorId="63E4AB9B" wp14:editId="56983685">
                            <wp:simplePos x="0" y="0"/>
                            <wp:positionH relativeFrom="margin">
                              <wp:posOffset>2771775</wp:posOffset>
                            </wp:positionH>
                            <wp:positionV relativeFrom="paragraph">
                              <wp:posOffset>187960</wp:posOffset>
                            </wp:positionV>
                            <wp:extent cx="3352800" cy="29908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9085"/>
                                    </a:xfrm>
                                    <a:prstGeom prst="rect">
                                      <a:avLst/>
                                    </a:prstGeom>
                                    <a:solidFill>
                                      <a:srgbClr val="FFFFFF"/>
                                    </a:solidFill>
                                    <a:ln w="9525">
                                      <a:solidFill>
                                        <a:srgbClr val="000000"/>
                                      </a:solidFill>
                                      <a:miter lim="800000"/>
                                      <a:headEnd/>
                                      <a:tailEnd/>
                                    </a:ln>
                                  </wps:spPr>
                                  <wps:txbx>
                                    <w:txbxContent>
                                      <w:p w:rsidR="00123721" w:rsidRDefault="00123721" w:rsidP="00123721">
                                        <w:r w:rsidRPr="00F66492">
                                          <w:rPr>
                                            <w:b/>
                                            <w:bCs/>
                                            <w:lang w:val="de-DE"/>
                                          </w:rPr>
                                          <w:t>SHARE of SHAFFE members in Top 14-Asian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4AB9B" id="_x0000_t202" coordsize="21600,21600" o:spt="202" path="m,l,21600r21600,l21600,xe">
                            <v:stroke joinstyle="miter"/>
                            <v:path gradientshapeok="t" o:connecttype="rect"/>
                          </v:shapetype>
                          <v:shape id="Text Box 2" o:spid="_x0000_s1026" type="#_x0000_t202" style="position:absolute;left:0;text-align:left;margin-left:218.25pt;margin-top:14.8pt;width:264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">
                            <v:textbox>
                              <w:txbxContent>
                                <w:p w:rsidR="00123721" w:rsidRDefault="00123721" w:rsidP="00123721">
                                  <w:r w:rsidRPr="00F66492">
                                    <w:rPr>
                                      <w:b/>
                                      <w:bCs/>
                                      <w:lang w:val="de-DE"/>
                                    </w:rPr>
                                    <w:t>SHARE of SHAFFE members in Top 14-Asian countries</w:t>
                                  </w:r>
                                </w:p>
                              </w:txbxContent>
                            </v:textbox>
                            <w10:wrap type="square" anchorx="margin"/>
                          </v:shape>
                        </w:pict>
                      </mc:Fallback>
                    </mc:AlternateContent>
                  </w:r>
                  <w:r w:rsidRPr="001C164E">
                    <w:rPr>
                      <w:rFonts w:ascii="Arial" w:hAnsi="Arial" w:cs="Arial"/>
                      <w:noProof/>
                      <w:color w:val="auto"/>
                      <w:sz w:val="20"/>
                    </w:rPr>
                    <mc:AlternateContent>
                      <mc:Choice Requires="wps">
                        <w:drawing>
                          <wp:anchor distT="45720" distB="45720" distL="114300" distR="114300" simplePos="0" relativeHeight="251661312" behindDoc="0" locked="0" layoutInCell="1" allowOverlap="1" wp14:anchorId="0B334F9A" wp14:editId="4A817BEB">
                            <wp:simplePos x="0" y="0"/>
                            <wp:positionH relativeFrom="margin">
                              <wp:posOffset>63500</wp:posOffset>
                            </wp:positionH>
                            <wp:positionV relativeFrom="paragraph">
                              <wp:posOffset>55245</wp:posOffset>
                            </wp:positionV>
                            <wp:extent cx="2574290" cy="2667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66700"/>
                                    </a:xfrm>
                                    <a:prstGeom prst="rect">
                                      <a:avLst/>
                                    </a:prstGeom>
                                    <a:solidFill>
                                      <a:srgbClr val="FFFFFF"/>
                                    </a:solidFill>
                                    <a:ln w="9525">
                                      <a:solidFill>
                                        <a:srgbClr val="000000"/>
                                      </a:solidFill>
                                      <a:miter lim="800000"/>
                                      <a:headEnd/>
                                      <a:tailEnd/>
                                    </a:ln>
                                  </wps:spPr>
                                  <wps:txbx>
                                    <w:txbxContent>
                                      <w:p w:rsidR="00123721" w:rsidRDefault="00123721" w:rsidP="00123721">
                                        <w:r w:rsidRPr="001C164E">
                                          <w:rPr>
                                            <w:b/>
                                            <w:bCs/>
                                            <w:lang w:val="de-DE"/>
                                          </w:rPr>
                                          <w:t>Temperate fruit imports by origin/value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4F9A" id="_x0000_s1027" type="#_x0000_t202" style="position:absolute;left:0;text-align:left;margin-left:5pt;margin-top:4.35pt;width:202.7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PvJwIAAE0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">
                            <v:textbox>
                              <w:txbxContent>
                                <w:p w:rsidR="00123721" w:rsidRDefault="00123721" w:rsidP="00123721">
                                  <w:r w:rsidRPr="001C164E">
                                    <w:rPr>
                                      <w:b/>
                                      <w:bCs/>
                                      <w:lang w:val="de-DE"/>
                                    </w:rPr>
                                    <w:t>Temperate fruit imports by origin/value</w:t>
                                  </w:r>
                                </w:p>
                              </w:txbxContent>
                            </v:textbox>
                            <w10:wrap type="square" anchorx="margin"/>
                          </v:shape>
                        </w:pict>
                      </mc:Fallback>
                    </mc:AlternateContent>
                  </w:r>
                </w:p>
              </w:tc>
            </w:tr>
            <w:tr w:rsidR="0098607D" w:rsidRPr="0032083B" w:rsidTr="00B636C9">
              <w:trPr>
                <w:gridAfter w:val="2"/>
                <w:wAfter w:w="566" w:type="dxa"/>
                <w:trHeight w:val="35"/>
                <w:tblCellSpacing w:w="0" w:type="dxa"/>
              </w:trPr>
              <w:tc>
                <w:tcPr>
                  <w:tcW w:w="10632" w:type="dxa"/>
                  <w:gridSpan w:val="2"/>
                  <w:vAlign w:val="center"/>
                </w:tcPr>
                <w:p w:rsidR="0098607D" w:rsidRPr="00123721" w:rsidRDefault="00ED030D" w:rsidP="00123721">
                  <w:pPr>
                    <w:pStyle w:val="NormalWeb"/>
                    <w:widowControl w:val="0"/>
                    <w:spacing w:before="0" w:beforeAutospacing="0" w:after="0" w:afterAutospacing="0"/>
                    <w:rPr>
                      <w:rFonts w:ascii="Arial" w:hAnsi="Arial" w:cs="Arial"/>
                      <w:b/>
                      <w:color w:val="auto"/>
                      <w:sz w:val="20"/>
                      <w:u w:val="single"/>
                    </w:rPr>
                  </w:pPr>
                  <w:r>
                    <w:rPr>
                      <w:rFonts w:ascii="Arial" w:hAnsi="Arial" w:cs="Arial"/>
                      <w:b/>
                      <w:i/>
                      <w:color w:val="auto"/>
                      <w:sz w:val="20"/>
                    </w:rPr>
                    <w:t xml:space="preserve"> </w:t>
                  </w:r>
                  <w:r w:rsidR="00123721" w:rsidRPr="00123721">
                    <w:rPr>
                      <w:rFonts w:ascii="Arial" w:hAnsi="Arial" w:cs="Arial"/>
                      <w:b/>
                      <w:color w:val="0070C0"/>
                      <w:sz w:val="20"/>
                      <w:u w:val="single"/>
                    </w:rPr>
                    <w:t>GEPAK EN VERSKEEP</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45"/>
              <w:gridCol w:w="992"/>
              <w:gridCol w:w="1134"/>
              <w:gridCol w:w="997"/>
              <w:gridCol w:w="988"/>
              <w:gridCol w:w="1276"/>
              <w:gridCol w:w="1275"/>
              <w:gridCol w:w="880"/>
            </w:tblGrid>
            <w:tr w:rsidR="001F5769" w:rsidRPr="00123721" w:rsidTr="00123721">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F5769" w:rsidP="001F5769">
                  <w:pPr>
                    <w:spacing w:after="0" w:line="240" w:lineRule="auto"/>
                    <w:ind w:left="337" w:hanging="337"/>
                    <w:rPr>
                      <w:rFonts w:ascii="Arial" w:hAnsi="Arial" w:cs="Arial"/>
                      <w:noProof/>
                      <w:sz w:val="18"/>
                      <w:szCs w:val="18"/>
                      <w:lang w:val="af-ZA"/>
                    </w:rPr>
                  </w:pPr>
                  <w:bookmarkStart w:id="0" w:name="OLE_LINK1"/>
                  <w:bookmarkStart w:id="1" w:name="OLE_LINK2"/>
                  <w:r w:rsidRPr="00123721">
                    <w:rPr>
                      <w:rFonts w:ascii="Arial" w:hAnsi="Arial" w:cs="Arial"/>
                      <w:noProof/>
                      <w:sz w:val="18"/>
                      <w:szCs w:val="18"/>
                      <w:lang w:val="af-ZA"/>
                    </w:rPr>
                    <w:t>To</w:t>
                  </w:r>
                  <w:r w:rsidR="00123721">
                    <w:rPr>
                      <w:rFonts w:ascii="Arial" w:hAnsi="Arial" w:cs="Arial"/>
                      <w:noProof/>
                      <w:sz w:val="18"/>
                      <w:szCs w:val="18"/>
                      <w:lang w:val="af-ZA"/>
                    </w:rPr>
                    <w:t>t</w:t>
                  </w:r>
                  <w:r w:rsidRPr="00123721">
                    <w:rPr>
                      <w:rFonts w:ascii="Arial" w:hAnsi="Arial" w:cs="Arial"/>
                      <w:noProof/>
                      <w:sz w:val="18"/>
                      <w:szCs w:val="18"/>
                      <w:lang w:val="af-ZA"/>
                    </w:rPr>
                    <w:t xml:space="preserve"> </w:t>
                  </w:r>
                  <w:r w:rsidR="00294850" w:rsidRPr="00123721">
                    <w:rPr>
                      <w:rFonts w:ascii="Arial" w:hAnsi="Arial" w:cs="Arial"/>
                      <w:noProof/>
                      <w:sz w:val="18"/>
                      <w:szCs w:val="18"/>
                      <w:lang w:val="af-ZA"/>
                    </w:rPr>
                    <w:t>Week 35</w:t>
                  </w:r>
                </w:p>
                <w:p w:rsidR="001F5769" w:rsidRPr="00123721" w:rsidRDefault="001F5769" w:rsidP="00123721">
                  <w:pPr>
                    <w:spacing w:after="0" w:line="240" w:lineRule="auto"/>
                    <w:rPr>
                      <w:rFonts w:ascii="Arial" w:hAnsi="Arial" w:cs="Arial"/>
                      <w:noProof/>
                      <w:sz w:val="18"/>
                      <w:szCs w:val="18"/>
                      <w:lang w:val="af-ZA"/>
                    </w:rPr>
                  </w:pPr>
                  <w:r w:rsidRPr="00123721">
                    <w:rPr>
                      <w:rFonts w:ascii="Arial" w:hAnsi="Arial" w:cs="Arial"/>
                      <w:noProof/>
                      <w:sz w:val="18"/>
                      <w:szCs w:val="18"/>
                      <w:lang w:val="af-ZA"/>
                    </w:rPr>
                    <w:t>M</w:t>
                  </w:r>
                  <w:r w:rsidR="00123721">
                    <w:rPr>
                      <w:rFonts w:ascii="Arial" w:hAnsi="Arial" w:cs="Arial"/>
                      <w:noProof/>
                      <w:sz w:val="18"/>
                      <w:szCs w:val="18"/>
                      <w:lang w:val="af-ZA"/>
                    </w:rPr>
                    <w:t>iljoen 1</w:t>
                  </w:r>
                  <w:r w:rsidRPr="00123721">
                    <w:rPr>
                      <w:rFonts w:ascii="Arial" w:hAnsi="Arial" w:cs="Arial"/>
                      <w:noProof/>
                      <w:sz w:val="18"/>
                      <w:szCs w:val="18"/>
                      <w:lang w:val="af-ZA"/>
                    </w:rPr>
                    <w:t xml:space="preserve">5 Kg </w:t>
                  </w:r>
                  <w:r w:rsidR="00123721">
                    <w:rPr>
                      <w:rFonts w:ascii="Arial" w:hAnsi="Arial" w:cs="Arial"/>
                      <w:noProof/>
                      <w:sz w:val="18"/>
                      <w:szCs w:val="18"/>
                      <w:lang w:val="af-ZA"/>
                    </w:rPr>
                    <w:t>Kartonne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1F5769" w:rsidRPr="00123721">
                    <w:rPr>
                      <w:rFonts w:ascii="Arial" w:hAnsi="Arial" w:cs="Arial"/>
                      <w:noProof/>
                      <w:sz w:val="18"/>
                      <w:szCs w:val="18"/>
                      <w:lang w:val="af-ZA"/>
                    </w:rPr>
                    <w:t xml:space="preserve">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134"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88"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23721"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880" w:type="dxa"/>
                  <w:tcBorders>
                    <w:top w:val="single" w:sz="4" w:space="0" w:color="000000"/>
                    <w:left w:val="single" w:sz="4" w:space="0" w:color="000000"/>
                    <w:bottom w:val="single" w:sz="4" w:space="0" w:color="000000"/>
                    <w:right w:val="single" w:sz="4" w:space="0" w:color="000000"/>
                  </w:tcBorders>
                  <w:shd w:val="clear" w:color="auto" w:fill="E6E6E6"/>
                </w:tcPr>
                <w:p w:rsidR="001F5769" w:rsidRPr="00123721" w:rsidRDefault="001F5769" w:rsidP="00123721">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Fin</w:t>
                  </w:r>
                  <w:r w:rsidR="00123721">
                    <w:rPr>
                      <w:rFonts w:ascii="Arial" w:hAnsi="Arial" w:cs="Arial"/>
                      <w:noProof/>
                      <w:sz w:val="18"/>
                      <w:szCs w:val="18"/>
                      <w:lang w:val="af-ZA"/>
                    </w:rPr>
                    <w:t>a</w:t>
                  </w:r>
                  <w:r w:rsidRPr="00123721">
                    <w:rPr>
                      <w:rFonts w:ascii="Arial" w:hAnsi="Arial" w:cs="Arial"/>
                      <w:noProof/>
                      <w:sz w:val="18"/>
                      <w:szCs w:val="18"/>
                      <w:lang w:val="af-ZA"/>
                    </w:rPr>
                    <w:t xml:space="preserve">al </w:t>
                  </w:r>
                  <w:r w:rsidR="00123721">
                    <w:rPr>
                      <w:rFonts w:ascii="Arial" w:hAnsi="Arial" w:cs="Arial"/>
                      <w:noProof/>
                      <w:sz w:val="18"/>
                      <w:szCs w:val="18"/>
                      <w:lang w:val="af-ZA"/>
                    </w:rPr>
                    <w:t>Gepak</w:t>
                  </w:r>
                </w:p>
              </w:tc>
            </w:tr>
            <w:tr w:rsidR="001F5769" w:rsidRPr="00123721" w:rsidTr="001237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23721" w:rsidP="001F5769">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1F5769" w:rsidRPr="00123721">
                    <w:rPr>
                      <w:rFonts w:ascii="Arial" w:hAnsi="Arial" w:cs="Arial"/>
                      <w:b/>
                      <w:noProof/>
                      <w:sz w:val="18"/>
                      <w:szCs w:val="18"/>
                      <w:lang w:val="af-ZA"/>
                    </w:rPr>
                    <w:t>: PPECB</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2017</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2018</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2017</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2018</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2018</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2017</w:t>
                  </w:r>
                </w:p>
              </w:tc>
            </w:tr>
            <w:tr w:rsidR="001F5769" w:rsidRPr="00123721" w:rsidTr="00123721">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23721" w:rsidP="001F5769">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A6717A"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13.6</w:t>
                  </w:r>
                  <w:r w:rsidR="001F5769" w:rsidRPr="00123721">
                    <w:rPr>
                      <w:rFonts w:ascii="Arial" w:hAnsi="Arial" w:cs="Arial"/>
                      <w:noProof/>
                      <w:sz w:val="18"/>
                      <w:szCs w:val="18"/>
                      <w:lang w:val="af-ZA"/>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15.6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18.3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C87564"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14.6</w:t>
                  </w:r>
                  <w:r w:rsidR="001F5769" w:rsidRPr="00123721">
                    <w:rPr>
                      <w:rFonts w:ascii="Arial" w:hAnsi="Arial" w:cs="Arial"/>
                      <w:noProof/>
                      <w:sz w:val="18"/>
                      <w:szCs w:val="18"/>
                      <w:lang w:val="af-ZA"/>
                    </w:rPr>
                    <w:t xml:space="preserve">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17.4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16.8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18.6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15.7 m</w:t>
                  </w:r>
                </w:p>
              </w:tc>
            </w:tr>
            <w:tr w:rsidR="001F5769" w:rsidRPr="00123721" w:rsidTr="001237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F5769" w:rsidP="00123721">
                  <w:pPr>
                    <w:spacing w:after="0" w:line="240" w:lineRule="auto"/>
                    <w:rPr>
                      <w:rFonts w:ascii="Arial" w:hAnsi="Arial" w:cs="Arial"/>
                      <w:noProof/>
                      <w:sz w:val="18"/>
                      <w:szCs w:val="18"/>
                      <w:lang w:val="af-ZA"/>
                    </w:rPr>
                  </w:pPr>
                  <w:r w:rsidRPr="00123721">
                    <w:rPr>
                      <w:rFonts w:ascii="Arial" w:hAnsi="Arial" w:cs="Arial"/>
                      <w:noProof/>
                      <w:sz w:val="18"/>
                      <w:szCs w:val="18"/>
                      <w:lang w:val="af-ZA"/>
                    </w:rPr>
                    <w:t>S</w:t>
                  </w:r>
                  <w:r w:rsidR="00123721">
                    <w:rPr>
                      <w:rFonts w:ascii="Arial" w:hAnsi="Arial" w:cs="Arial"/>
                      <w:noProof/>
                      <w:sz w:val="18"/>
                      <w:szCs w:val="18"/>
                      <w:lang w:val="af-ZA"/>
                    </w:rPr>
                    <w:t>agte Sitrus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11.8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12.9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15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12.2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14.7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14.7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17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13.4 m</w:t>
                  </w:r>
                </w:p>
              </w:tc>
            </w:tr>
            <w:tr w:rsidR="001F5769" w:rsidRPr="00123721" w:rsidTr="00123721">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23721" w:rsidP="00123721">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14.5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18.4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18.5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18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17.9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20.6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19.9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19 m</w:t>
                  </w:r>
                </w:p>
              </w:tc>
            </w:tr>
            <w:tr w:rsidR="001F5769" w:rsidRPr="00123721" w:rsidTr="001237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23721" w:rsidP="001F5769">
                  <w:pPr>
                    <w:spacing w:after="0" w:line="240" w:lineRule="auto"/>
                    <w:rPr>
                      <w:rFonts w:ascii="Arial" w:hAnsi="Arial" w:cs="Arial"/>
                      <w:noProof/>
                      <w:sz w:val="18"/>
                      <w:szCs w:val="18"/>
                      <w:lang w:val="af-ZA"/>
                    </w:rPr>
                  </w:pPr>
                  <w:r>
                    <w:rPr>
                      <w:rFonts w:ascii="Arial" w:hAnsi="Arial" w:cs="Arial"/>
                      <w:noProof/>
                      <w:sz w:val="18"/>
                      <w:szCs w:val="18"/>
                      <w:lang w:val="af-ZA"/>
                    </w:rPr>
                    <w:t>Naw</w:t>
                  </w:r>
                  <w:r w:rsidR="001F5769" w:rsidRPr="00123721">
                    <w:rPr>
                      <w:rFonts w:ascii="Arial" w:hAnsi="Arial" w:cs="Arial"/>
                      <w:noProof/>
                      <w:sz w:val="18"/>
                      <w:szCs w:val="18"/>
                      <w:lang w:val="af-ZA"/>
                    </w:rPr>
                    <w:t>els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26.1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20.9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26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20.9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25.4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25.7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294850" w:rsidP="001F5769">
                  <w:pPr>
                    <w:spacing w:after="0" w:line="240" w:lineRule="auto"/>
                    <w:jc w:val="center"/>
                    <w:rPr>
                      <w:rFonts w:ascii="Arial" w:hAnsi="Arial" w:cs="Arial"/>
                      <w:b/>
                      <w:noProof/>
                      <w:sz w:val="18"/>
                      <w:szCs w:val="18"/>
                      <w:lang w:val="af-ZA"/>
                    </w:rPr>
                  </w:pPr>
                  <w:r w:rsidRPr="00123721">
                    <w:rPr>
                      <w:rFonts w:ascii="Arial" w:hAnsi="Arial" w:cs="Arial"/>
                      <w:b/>
                      <w:noProof/>
                      <w:color w:val="FF0000"/>
                      <w:sz w:val="18"/>
                      <w:szCs w:val="18"/>
                      <w:lang w:val="af-ZA"/>
                    </w:rPr>
                    <w:t>26.2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21.1 m</w:t>
                  </w:r>
                </w:p>
              </w:tc>
            </w:tr>
            <w:tr w:rsidR="001F5769" w:rsidRPr="00123721" w:rsidTr="00123721">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1F5769" w:rsidRPr="00123721" w:rsidRDefault="001F5769" w:rsidP="001F5769">
                  <w:pPr>
                    <w:spacing w:after="0" w:line="240" w:lineRule="auto"/>
                    <w:rPr>
                      <w:rFonts w:ascii="Arial" w:hAnsi="Arial" w:cs="Arial"/>
                      <w:noProof/>
                      <w:sz w:val="18"/>
                      <w:szCs w:val="18"/>
                      <w:lang w:val="af-ZA"/>
                    </w:rPr>
                  </w:pPr>
                  <w:r w:rsidRPr="00123721">
                    <w:rPr>
                      <w:rFonts w:ascii="Arial" w:hAnsi="Arial" w:cs="Arial"/>
                      <w:noProof/>
                      <w:sz w:val="18"/>
                      <w:szCs w:val="18"/>
                      <w:lang w:val="af-ZA"/>
                    </w:rPr>
                    <w:t>Valencia</w:t>
                  </w:r>
                  <w:r w:rsidR="00123721">
                    <w:rPr>
                      <w:rFonts w:ascii="Arial" w:hAnsi="Arial" w:cs="Arial"/>
                      <w:noProof/>
                      <w:sz w:val="18"/>
                      <w:szCs w:val="18"/>
                      <w:lang w:val="af-ZA"/>
                    </w:rPr>
                    <w:t>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34.5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40.7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35.2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32.8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123721" w:rsidRDefault="00294850"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28.4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53.9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center"/>
                    <w:rPr>
                      <w:rFonts w:ascii="Arial" w:hAnsi="Arial" w:cs="Arial"/>
                      <w:noProof/>
                      <w:sz w:val="18"/>
                      <w:szCs w:val="18"/>
                      <w:lang w:val="af-ZA"/>
                    </w:rPr>
                  </w:pPr>
                  <w:r w:rsidRPr="00123721">
                    <w:rPr>
                      <w:rFonts w:ascii="Arial" w:hAnsi="Arial" w:cs="Arial"/>
                      <w:noProof/>
                      <w:sz w:val="18"/>
                      <w:szCs w:val="18"/>
                      <w:lang w:val="af-ZA"/>
                    </w:rPr>
                    <w:t>51.2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123721" w:rsidRDefault="001F5769" w:rsidP="001F5769">
                  <w:pPr>
                    <w:spacing w:after="0" w:line="240" w:lineRule="auto"/>
                    <w:jc w:val="right"/>
                    <w:rPr>
                      <w:rFonts w:ascii="Arial" w:hAnsi="Arial" w:cs="Arial"/>
                      <w:noProof/>
                      <w:sz w:val="18"/>
                      <w:szCs w:val="18"/>
                      <w:lang w:val="af-ZA"/>
                    </w:rPr>
                  </w:pPr>
                  <w:r w:rsidRPr="00123721">
                    <w:rPr>
                      <w:rFonts w:ascii="Arial" w:hAnsi="Arial" w:cs="Arial"/>
                      <w:noProof/>
                      <w:sz w:val="18"/>
                      <w:szCs w:val="18"/>
                      <w:lang w:val="af-ZA"/>
                    </w:rPr>
                    <w:t>53.8 m</w:t>
                  </w:r>
                </w:p>
              </w:tc>
            </w:tr>
            <w:tr w:rsidR="001F5769" w:rsidRPr="00123721" w:rsidTr="00123721">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123721" w:rsidRDefault="001F5769" w:rsidP="001F5769">
                  <w:pPr>
                    <w:spacing w:after="0" w:line="240" w:lineRule="auto"/>
                    <w:rPr>
                      <w:rFonts w:ascii="Arial" w:hAnsi="Arial" w:cs="Arial"/>
                      <w:b/>
                      <w:noProof/>
                      <w:sz w:val="18"/>
                      <w:szCs w:val="18"/>
                      <w:lang w:val="af-ZA"/>
                    </w:rPr>
                  </w:pPr>
                  <w:r w:rsidRPr="00123721">
                    <w:rPr>
                      <w:rFonts w:ascii="Arial" w:hAnsi="Arial" w:cs="Arial"/>
                      <w:b/>
                      <w:noProof/>
                      <w:sz w:val="18"/>
                      <w:szCs w:val="18"/>
                      <w:lang w:val="af-ZA"/>
                    </w:rPr>
                    <w:t>Tot</w:t>
                  </w:r>
                  <w:r w:rsidR="00123721">
                    <w:rPr>
                      <w:rFonts w:ascii="Arial" w:hAnsi="Arial" w:cs="Arial"/>
                      <w:b/>
                      <w:noProof/>
                      <w:sz w:val="18"/>
                      <w:szCs w:val="18"/>
                      <w:lang w:val="af-ZA"/>
                    </w:rPr>
                    <w:t>a</w:t>
                  </w:r>
                  <w:r w:rsidRPr="00123721">
                    <w:rPr>
                      <w:rFonts w:ascii="Arial" w:hAnsi="Arial" w:cs="Arial"/>
                      <w:b/>
                      <w:noProof/>
                      <w:sz w:val="18"/>
                      <w:szCs w:val="18"/>
                      <w:lang w:val="af-ZA"/>
                    </w:rPr>
                    <w:t>al</w:t>
                  </w:r>
                </w:p>
              </w:tc>
              <w:tc>
                <w:tcPr>
                  <w:tcW w:w="9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123721" w:rsidRDefault="00294850" w:rsidP="001F5769">
                  <w:pPr>
                    <w:spacing w:after="0" w:line="240" w:lineRule="auto"/>
                    <w:jc w:val="center"/>
                    <w:rPr>
                      <w:rFonts w:ascii="Arial" w:hAnsi="Arial" w:cs="Arial"/>
                      <w:b/>
                      <w:noProof/>
                      <w:sz w:val="18"/>
                      <w:szCs w:val="18"/>
                      <w:lang w:val="af-ZA"/>
                    </w:rPr>
                  </w:pPr>
                  <w:r w:rsidRPr="00123721">
                    <w:rPr>
                      <w:rFonts w:ascii="Arial" w:hAnsi="Arial" w:cs="Arial"/>
                      <w:b/>
                      <w:noProof/>
                      <w:sz w:val="18"/>
                      <w:szCs w:val="18"/>
                      <w:lang w:val="af-ZA"/>
                    </w:rPr>
                    <w:t>100.5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1F5769" w:rsidRPr="00123721" w:rsidRDefault="00294850" w:rsidP="001F5769">
                  <w:pPr>
                    <w:spacing w:after="0" w:line="240" w:lineRule="auto"/>
                    <w:jc w:val="center"/>
                    <w:rPr>
                      <w:rFonts w:ascii="Arial" w:hAnsi="Arial" w:cs="Arial"/>
                      <w:b/>
                      <w:noProof/>
                      <w:sz w:val="18"/>
                      <w:szCs w:val="18"/>
                      <w:lang w:val="af-ZA"/>
                    </w:rPr>
                  </w:pPr>
                  <w:r w:rsidRPr="00123721">
                    <w:rPr>
                      <w:rFonts w:ascii="Arial" w:hAnsi="Arial" w:cs="Arial"/>
                      <w:b/>
                      <w:noProof/>
                      <w:sz w:val="18"/>
                      <w:szCs w:val="18"/>
                      <w:lang w:val="af-ZA"/>
                    </w:rPr>
                    <w:t>108.5 m</w:t>
                  </w:r>
                </w:p>
              </w:tc>
              <w:tc>
                <w:tcPr>
                  <w:tcW w:w="1134"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1F5769" w:rsidRPr="00123721" w:rsidRDefault="00294850" w:rsidP="001F5769">
                  <w:pPr>
                    <w:spacing w:after="0" w:line="240" w:lineRule="auto"/>
                    <w:jc w:val="center"/>
                    <w:rPr>
                      <w:rFonts w:ascii="Arial" w:hAnsi="Arial" w:cs="Arial"/>
                      <w:b/>
                      <w:noProof/>
                      <w:sz w:val="18"/>
                      <w:szCs w:val="18"/>
                      <w:lang w:val="af-ZA"/>
                    </w:rPr>
                  </w:pPr>
                  <w:r w:rsidRPr="00123721">
                    <w:rPr>
                      <w:rFonts w:ascii="Arial" w:hAnsi="Arial" w:cs="Arial"/>
                      <w:b/>
                      <w:noProof/>
                      <w:sz w:val="18"/>
                      <w:szCs w:val="18"/>
                      <w:lang w:val="af-ZA"/>
                    </w:rPr>
                    <w:t>113 m</w:t>
                  </w:r>
                </w:p>
              </w:tc>
              <w:tc>
                <w:tcPr>
                  <w:tcW w:w="99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123721" w:rsidRDefault="00603EA9" w:rsidP="001F5769">
                  <w:pPr>
                    <w:spacing w:after="0" w:line="240" w:lineRule="auto"/>
                    <w:jc w:val="center"/>
                    <w:rPr>
                      <w:rFonts w:ascii="Arial" w:hAnsi="Arial" w:cs="Arial"/>
                      <w:b/>
                      <w:noProof/>
                      <w:sz w:val="18"/>
                      <w:szCs w:val="18"/>
                      <w:lang w:val="af-ZA"/>
                    </w:rPr>
                  </w:pPr>
                  <w:r w:rsidRPr="00123721">
                    <w:rPr>
                      <w:rFonts w:ascii="Arial" w:hAnsi="Arial" w:cs="Arial"/>
                      <w:b/>
                      <w:noProof/>
                      <w:sz w:val="18"/>
                      <w:szCs w:val="18"/>
                      <w:lang w:val="af-ZA"/>
                    </w:rPr>
                    <w:t>98.5 m</w:t>
                  </w:r>
                </w:p>
              </w:tc>
              <w:tc>
                <w:tcPr>
                  <w:tcW w:w="988"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123721" w:rsidRDefault="00603EA9" w:rsidP="001F5769">
                  <w:pPr>
                    <w:spacing w:after="0" w:line="240" w:lineRule="auto"/>
                    <w:jc w:val="center"/>
                    <w:rPr>
                      <w:rFonts w:ascii="Arial" w:hAnsi="Arial" w:cs="Arial"/>
                      <w:b/>
                      <w:noProof/>
                      <w:sz w:val="18"/>
                      <w:szCs w:val="18"/>
                      <w:lang w:val="af-ZA"/>
                    </w:rPr>
                  </w:pPr>
                  <w:r w:rsidRPr="00123721">
                    <w:rPr>
                      <w:rFonts w:ascii="Arial" w:hAnsi="Arial" w:cs="Arial"/>
                      <w:b/>
                      <w:noProof/>
                      <w:sz w:val="18"/>
                      <w:szCs w:val="18"/>
                      <w:lang w:val="af-ZA"/>
                    </w:rPr>
                    <w:t>103.8 m</w:t>
                  </w:r>
                </w:p>
              </w:tc>
              <w:tc>
                <w:tcPr>
                  <w:tcW w:w="127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1F5769" w:rsidRPr="00123721" w:rsidRDefault="001F5769" w:rsidP="001F5769">
                  <w:pPr>
                    <w:spacing w:after="0" w:line="240" w:lineRule="auto"/>
                    <w:jc w:val="right"/>
                    <w:rPr>
                      <w:rFonts w:ascii="Arial" w:hAnsi="Arial" w:cs="Arial"/>
                      <w:b/>
                      <w:noProof/>
                      <w:sz w:val="18"/>
                      <w:szCs w:val="18"/>
                      <w:lang w:val="af-ZA"/>
                    </w:rPr>
                  </w:pPr>
                  <w:r w:rsidRPr="00123721">
                    <w:rPr>
                      <w:rFonts w:ascii="Arial" w:hAnsi="Arial" w:cs="Arial"/>
                      <w:b/>
                      <w:noProof/>
                      <w:sz w:val="18"/>
                      <w:szCs w:val="18"/>
                      <w:lang w:val="af-ZA"/>
                    </w:rPr>
                    <w:t>131.7 m</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123721" w:rsidRDefault="001F5769" w:rsidP="004E66AA">
                  <w:pPr>
                    <w:spacing w:after="0" w:line="240" w:lineRule="auto"/>
                    <w:jc w:val="center"/>
                    <w:rPr>
                      <w:rFonts w:ascii="Arial" w:hAnsi="Arial" w:cs="Arial"/>
                      <w:b/>
                      <w:noProof/>
                      <w:sz w:val="18"/>
                      <w:szCs w:val="18"/>
                      <w:lang w:val="af-ZA"/>
                    </w:rPr>
                  </w:pPr>
                  <w:r w:rsidRPr="00123721">
                    <w:rPr>
                      <w:rFonts w:ascii="Arial" w:hAnsi="Arial" w:cs="Arial"/>
                      <w:b/>
                      <w:noProof/>
                      <w:color w:val="FF0000"/>
                      <w:sz w:val="18"/>
                      <w:szCs w:val="18"/>
                      <w:lang w:val="af-ZA"/>
                    </w:rPr>
                    <w:t>132.</w:t>
                  </w:r>
                  <w:r w:rsidR="00603EA9" w:rsidRPr="00123721">
                    <w:rPr>
                      <w:rFonts w:ascii="Arial" w:hAnsi="Arial" w:cs="Arial"/>
                      <w:b/>
                      <w:noProof/>
                      <w:color w:val="FF0000"/>
                      <w:sz w:val="18"/>
                      <w:szCs w:val="18"/>
                      <w:lang w:val="af-ZA"/>
                    </w:rPr>
                    <w:t>9</w:t>
                  </w:r>
                  <w:r w:rsidRPr="00123721">
                    <w:rPr>
                      <w:rFonts w:ascii="Arial" w:hAnsi="Arial" w:cs="Arial"/>
                      <w:b/>
                      <w:noProof/>
                      <w:color w:val="FF0000"/>
                      <w:sz w:val="18"/>
                      <w:szCs w:val="18"/>
                      <w:lang w:val="af-ZA"/>
                    </w:rPr>
                    <w:t xml:space="preserve"> m</w:t>
                  </w:r>
                </w:p>
              </w:tc>
              <w:tc>
                <w:tcPr>
                  <w:tcW w:w="8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123721" w:rsidRDefault="001F5769" w:rsidP="001F5769">
                  <w:pPr>
                    <w:spacing w:after="0" w:line="240" w:lineRule="auto"/>
                    <w:jc w:val="right"/>
                    <w:rPr>
                      <w:rFonts w:ascii="Arial" w:hAnsi="Arial" w:cs="Arial"/>
                      <w:b/>
                      <w:noProof/>
                      <w:sz w:val="18"/>
                      <w:szCs w:val="18"/>
                      <w:lang w:val="af-ZA"/>
                    </w:rPr>
                  </w:pPr>
                  <w:r w:rsidRPr="00123721">
                    <w:rPr>
                      <w:rFonts w:ascii="Arial" w:hAnsi="Arial" w:cs="Arial"/>
                      <w:b/>
                      <w:noProof/>
                      <w:sz w:val="18"/>
                      <w:szCs w:val="18"/>
                      <w:lang w:val="af-ZA"/>
                    </w:rPr>
                    <w:t>123 m</w:t>
                  </w:r>
                </w:p>
              </w:tc>
            </w:tr>
          </w:tbl>
          <w:bookmarkEnd w:id="0"/>
          <w:bookmarkEnd w:id="1"/>
          <w:p w:rsidR="009105C5"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c>
      </w:tr>
    </w:tbl>
    <w:p w:rsidR="00F553C7" w:rsidRPr="003363E1" w:rsidRDefault="00880362" w:rsidP="003C6987">
      <w:pPr>
        <w:spacing w:after="0" w:line="240" w:lineRule="auto"/>
        <w:ind w:right="-330"/>
        <w:jc w:val="center"/>
        <w:rPr>
          <w:rFonts w:ascii="Arial" w:hAnsi="Arial" w:cs="Arial"/>
          <w:b/>
          <w:color w:val="31849B"/>
          <w:sz w:val="17"/>
          <w:szCs w:val="17"/>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bookmarkStart w:id="2" w:name="_GoBack"/>
      <w:bookmarkEnd w:id="2"/>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4"/>
  </w:num>
  <w:num w:numId="10">
    <w:abstractNumId w:val="3"/>
  </w:num>
  <w:num w:numId="11">
    <w:abstractNumId w:val="0"/>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721"/>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6987"/>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362"/>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2E9"/>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1D7"/>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096"/>
    <w:rsid w:val="00DA15AA"/>
    <w:rsid w:val="00DA19C5"/>
    <w:rsid w:val="00DA1C7E"/>
    <w:rsid w:val="00DA2CF5"/>
    <w:rsid w:val="00DA31FA"/>
    <w:rsid w:val="00DA45BC"/>
    <w:rsid w:val="00DA4B02"/>
    <w:rsid w:val="00DA5F6F"/>
    <w:rsid w:val="00DA6104"/>
    <w:rsid w:val="00DA6725"/>
    <w:rsid w:val="00DA7635"/>
    <w:rsid w:val="00DA7690"/>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styleId="PlaceholderText">
    <w:name w:val="Placeholder Text"/>
    <w:basedOn w:val="DefaultParagraphFont"/>
    <w:uiPriority w:val="99"/>
    <w:semiHidden/>
    <w:rsid w:val="003C6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12639964">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64951875">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281690119">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mitchell@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lli\Desktop\HK\SHAFFE%20imports%20volume%20in%20T%202008%20-%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[Mappe1]Blatt2!$A$2</c:f>
              <c:strCache>
                <c:ptCount val="1"/>
                <c:pt idx="0">
                  <c:v>Intra-Asia</c:v>
                </c:pt>
              </c:strCache>
            </c:strRef>
          </c:tx>
          <c:spPr>
            <a:solidFill>
              <a:schemeClr val="accent1"/>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[Mappe1]Blatt2!$B$2:$K$2</c:f>
              <c:numCache>
                <c:formatCode>#,##0_ </c:formatCode>
                <c:ptCount val="10"/>
                <c:pt idx="0">
                  <c:v>1611476</c:v>
                </c:pt>
                <c:pt idx="1">
                  <c:v>2017193</c:v>
                </c:pt>
                <c:pt idx="2">
                  <c:v>2186781</c:v>
                </c:pt>
                <c:pt idx="3">
                  <c:v>2820475</c:v>
                </c:pt>
                <c:pt idx="4">
                  <c:v>3499193</c:v>
                </c:pt>
                <c:pt idx="5">
                  <c:v>3640021</c:v>
                </c:pt>
                <c:pt idx="6">
                  <c:v>3927540</c:v>
                </c:pt>
                <c:pt idx="7">
                  <c:v>4223081</c:v>
                </c:pt>
                <c:pt idx="8">
                  <c:v>4685567</c:v>
                </c:pt>
                <c:pt idx="9">
                  <c:v>5949345</c:v>
                </c:pt>
              </c:numCache>
            </c:numRef>
          </c:val>
          <c:extLst xmlns:c16r2="http://schemas.microsoft.com/office/drawing/2015/06/chart">
            <c:ext xmlns:c16="http://schemas.microsoft.com/office/drawing/2014/chart" uri="{C3380CC4-5D6E-409C-BE32-E72D297353CC}">
              <c16:uniqueId val="{00000000-0325-4CB2-AFB4-FE5184676184}"/>
            </c:ext>
          </c:extLst>
        </c:ser>
        <c:ser>
          <c:idx val="1"/>
          <c:order val="1"/>
          <c:tx>
            <c:strRef>
              <c:f>[Mappe1]Blatt2!$A$3</c:f>
              <c:strCache>
                <c:ptCount val="1"/>
                <c:pt idx="0">
                  <c:v>SHAFFE countries</c:v>
                </c:pt>
              </c:strCache>
            </c:strRef>
          </c:tx>
          <c:spPr>
            <a:solidFill>
              <a:schemeClr val="accent2"/>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[Mappe1]Blatt2!$B$3:$K$3</c:f>
              <c:numCache>
                <c:formatCode>#,##0_ </c:formatCode>
                <c:ptCount val="10"/>
                <c:pt idx="0">
                  <c:v>1277060</c:v>
                </c:pt>
                <c:pt idx="1">
                  <c:v>1466614</c:v>
                </c:pt>
                <c:pt idx="2">
                  <c:v>1706761</c:v>
                </c:pt>
                <c:pt idx="3">
                  <c:v>2360469</c:v>
                </c:pt>
                <c:pt idx="4">
                  <c:v>2892047</c:v>
                </c:pt>
                <c:pt idx="5">
                  <c:v>2974645</c:v>
                </c:pt>
                <c:pt idx="6">
                  <c:v>3851127</c:v>
                </c:pt>
                <c:pt idx="7">
                  <c:v>4346408</c:v>
                </c:pt>
                <c:pt idx="8">
                  <c:v>5220360</c:v>
                </c:pt>
                <c:pt idx="9">
                  <c:v>5202278</c:v>
                </c:pt>
              </c:numCache>
            </c:numRef>
          </c:val>
          <c:extLst xmlns:c16r2="http://schemas.microsoft.com/office/drawing/2015/06/chart">
            <c:ext xmlns:c16="http://schemas.microsoft.com/office/drawing/2014/chart" uri="{C3380CC4-5D6E-409C-BE32-E72D297353CC}">
              <c16:uniqueId val="{00000001-0325-4CB2-AFB4-FE5184676184}"/>
            </c:ext>
          </c:extLst>
        </c:ser>
        <c:ser>
          <c:idx val="2"/>
          <c:order val="2"/>
          <c:tx>
            <c:strRef>
              <c:f>[Mappe1]Blatt2!$A$4</c:f>
              <c:strCache>
                <c:ptCount val="1"/>
                <c:pt idx="0">
                  <c:v>Rest</c:v>
                </c:pt>
              </c:strCache>
            </c:strRef>
          </c:tx>
          <c:spPr>
            <a:solidFill>
              <a:schemeClr val="accent5"/>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[Mappe1]Blatt2!$B$4:$K$4</c:f>
              <c:numCache>
                <c:formatCode>#,##0_ </c:formatCode>
                <c:ptCount val="10"/>
                <c:pt idx="0">
                  <c:v>1633890</c:v>
                </c:pt>
                <c:pt idx="1">
                  <c:v>1697551</c:v>
                </c:pt>
                <c:pt idx="2">
                  <c:v>2148522</c:v>
                </c:pt>
                <c:pt idx="3">
                  <c:v>2560088</c:v>
                </c:pt>
                <c:pt idx="4">
                  <c:v>2831498</c:v>
                </c:pt>
                <c:pt idx="5">
                  <c:v>2764971</c:v>
                </c:pt>
                <c:pt idx="6">
                  <c:v>2815453</c:v>
                </c:pt>
                <c:pt idx="7">
                  <c:v>3144246</c:v>
                </c:pt>
                <c:pt idx="8">
                  <c:v>3439049</c:v>
                </c:pt>
                <c:pt idx="9">
                  <c:v>3746786</c:v>
                </c:pt>
              </c:numCache>
            </c:numRef>
          </c:val>
          <c:extLst xmlns:c16r2="http://schemas.microsoft.com/office/drawing/2015/06/chart">
            <c:ext xmlns:c16="http://schemas.microsoft.com/office/drawing/2014/chart" uri="{C3380CC4-5D6E-409C-BE32-E72D297353CC}">
              <c16:uniqueId val="{00000002-0325-4CB2-AFB4-FE5184676184}"/>
            </c:ext>
          </c:extLst>
        </c:ser>
        <c:dLbls>
          <c:showLegendKey val="0"/>
          <c:showVal val="0"/>
          <c:showCatName val="0"/>
          <c:showSerName val="0"/>
          <c:showPercent val="0"/>
          <c:showBubbleSize val="0"/>
        </c:dLbls>
        <c:axId val="26260672"/>
        <c:axId val="26256320"/>
      </c:areaChart>
      <c:catAx>
        <c:axId val="2626067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crossAx val="26256320"/>
        <c:crosses val="autoZero"/>
        <c:auto val="1"/>
        <c:lblAlgn val="ctr"/>
        <c:lblOffset val="100"/>
        <c:noMultiLvlLbl val="0"/>
      </c:catAx>
      <c:valAx>
        <c:axId val="26256320"/>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crossAx val="262606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de-DE"/>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BA-46A5-AC18-A8321E5B6E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BA-46A5-AC18-A8321E5B6E5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BA-46A5-AC18-A8321E5B6E5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1BA-46A5-AC18-A8321E5B6E5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1BA-46A5-AC18-A8321E5B6E5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1BA-46A5-AC18-A8321E5B6E5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1BA-46A5-AC18-A8321E5B6E57}"/>
              </c:ext>
            </c:extLst>
          </c:dPt>
          <c:dLbls>
            <c:dLbl>
              <c:idx val="0"/>
              <c:layout>
                <c:manualLayout>
                  <c:x val="1.6597510373443862E-2"/>
                  <c:y val="0.1379706812302385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1BA-46A5-AC18-A8321E5B6E57}"/>
                </c:ext>
                <c:ext xmlns:c15="http://schemas.microsoft.com/office/drawing/2012/chart" uri="{CE6537A1-D6FC-4f65-9D91-7224C49458BB}"/>
              </c:extLst>
            </c:dLbl>
            <c:dLbl>
              <c:idx val="3"/>
              <c:layout>
                <c:manualLayout>
                  <c:x val="-1.9917012448132765E-2"/>
                  <c:y val="9.198045415349236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1BA-46A5-AC18-A8321E5B6E57}"/>
                </c:ext>
                <c:ext xmlns:c15="http://schemas.microsoft.com/office/drawing/2012/chart" uri="{CE6537A1-D6FC-4f65-9D91-7224C49458BB}"/>
              </c:extLst>
            </c:dLbl>
            <c:dLbl>
              <c:idx val="4"/>
              <c:layout>
                <c:manualLayout>
                  <c:x val="-4.102697095435686E-2"/>
                  <c:y val="-1.4009218177627358E-2"/>
                </c:manualLayout>
              </c:layout>
              <c:tx>
                <c:rich>
                  <a:bodyPr/>
                  <a:lstStyle/>
                  <a:p>
                    <a:fld id="{BF6EFD31-DC60-41D4-8906-B23262459736}" type="CATEGORYNAME">
                      <a:rPr lang="en-US"/>
                      <a:pPr/>
                      <a:t>[CATEGORY NAME]</a:t>
                    </a:fld>
                    <a:r>
                      <a:rPr lang="en-US"/>
                      <a:t> </a:t>
                    </a:r>
                    <a:fld id="{02C0A605-FD5F-4FD8-9827-6EF38309E459}" type="PERCENTAGE">
                      <a:rPr lang="en-US" baseline="0"/>
                      <a:pPr/>
                      <a:t>[PERCENTAGE]</a:t>
                    </a:fld>
                    <a:endParaRPr lang="en-US"/>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21BA-46A5-AC18-A8321E5B6E57}"/>
                </c:ext>
                <c:ext xmlns:c15="http://schemas.microsoft.com/office/drawing/2012/chart" uri="{CE6537A1-D6FC-4f65-9D91-7224C49458BB}">
                  <c15:layout>
                    <c:manualLayout>
                      <c:w val="0.18899571993334854"/>
                      <c:h val="0.10520264443805691"/>
                    </c:manualLayout>
                  </c15:layout>
                  <c15:dlblFieldTable/>
                  <c15:showDataLabelsRange val="0"/>
                </c:ext>
              </c:extLst>
            </c:dLbl>
            <c:dLbl>
              <c:idx val="5"/>
              <c:layout>
                <c:manualLayout>
                  <c:x val="0.12787532263861209"/>
                  <c:y val="-2.4530761622604022E-2"/>
                </c:manualLayout>
              </c:layout>
              <c:tx>
                <c:rich>
                  <a:bodyPr/>
                  <a:lstStyle/>
                  <a:p>
                    <a:fld id="{72019CE7-0BCD-497A-A01D-F8B49610C8D5}" type="CATEGORYNAME">
                      <a:rPr lang="en-US"/>
                      <a:pPr/>
                      <a:t>[CATEGORY NAME]</a:t>
                    </a:fld>
                    <a:r>
                      <a:rPr lang="en-US" baseline="0"/>
                      <a:t> </a:t>
                    </a:r>
                    <a:fld id="{CF578691-36A6-4B8C-AD06-021CD7F13678}" type="PERCENTAGE">
                      <a:rPr lang="en-US" baseline="0"/>
                      <a:pPr/>
                      <a:t>[PERCENTAGE]</a:t>
                    </a:fld>
                    <a:endParaRPr lang="en-US" baseline="0"/>
                  </a:p>
                </c:rich>
              </c:tx>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21BA-46A5-AC18-A8321E5B6E57}"/>
                </c:ext>
                <c:ext xmlns:c15="http://schemas.microsoft.com/office/drawing/2012/chart" uri="{CE6537A1-D6FC-4f65-9D91-7224C49458BB}">
                  <c15:layout>
                    <c:manualLayout>
                      <c:w val="0.29807455810762246"/>
                      <c:h val="0.12819775797642999"/>
                    </c:manualLayout>
                  </c15:layout>
                  <c15:dlblFieldTable/>
                  <c15:showDataLabelsRange val="0"/>
                </c:ext>
              </c:extLst>
            </c:dLbl>
            <c:dLbl>
              <c:idx val="6"/>
              <c:delete val="1"/>
              <c:extLst xmlns:c16r2="http://schemas.microsoft.com/office/drawing/2015/06/chart">
                <c:ext xmlns:c16="http://schemas.microsoft.com/office/drawing/2014/chart" uri="{C3380CC4-5D6E-409C-BE32-E72D297353CC}">
                  <c16:uniqueId val="{0000000D-21BA-46A5-AC18-A8321E5B6E57}"/>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de-DE"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'[SHAFFE imports volume in T 2008 - 2017.xlsx]Blatt7'!$A$1:$A$7</c:f>
              <c:strCache>
                <c:ptCount val="7"/>
                <c:pt idx="0">
                  <c:v>South Africa </c:v>
                </c:pt>
                <c:pt idx="1">
                  <c:v>Chile</c:v>
                </c:pt>
                <c:pt idx="2">
                  <c:v>New Zealand</c:v>
                </c:pt>
                <c:pt idx="3">
                  <c:v>Australia</c:v>
                </c:pt>
                <c:pt idx="4">
                  <c:v>Peru</c:v>
                </c:pt>
                <c:pt idx="5">
                  <c:v>Argentina</c:v>
                </c:pt>
                <c:pt idx="6">
                  <c:v>Uruguay </c:v>
                </c:pt>
              </c:strCache>
            </c:strRef>
          </c:cat>
          <c:val>
            <c:numRef>
              <c:f>'[SHAFFE imports volume in T 2008 - 2017.xlsx]Blatt7'!$B$1:$B$7</c:f>
              <c:numCache>
                <c:formatCode>General</c:formatCode>
                <c:ptCount val="7"/>
                <c:pt idx="0">
                  <c:v>605388</c:v>
                </c:pt>
                <c:pt idx="1">
                  <c:v>471936</c:v>
                </c:pt>
                <c:pt idx="2">
                  <c:v>392336</c:v>
                </c:pt>
                <c:pt idx="3">
                  <c:v>304080</c:v>
                </c:pt>
                <c:pt idx="4">
                  <c:v>94514</c:v>
                </c:pt>
                <c:pt idx="5">
                  <c:v>21414</c:v>
                </c:pt>
                <c:pt idx="6">
                  <c:v>1551</c:v>
                </c:pt>
              </c:numCache>
            </c:numRef>
          </c:val>
          <c:extLst xmlns:c16r2="http://schemas.microsoft.com/office/drawing/2015/06/chart">
            <c:ext xmlns:c16="http://schemas.microsoft.com/office/drawing/2014/chart" uri="{C3380CC4-5D6E-409C-BE32-E72D297353CC}">
              <c16:uniqueId val="{0000000E-21BA-46A5-AC18-A8321E5B6E57}"/>
            </c:ext>
          </c:extLst>
        </c:ser>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de-DE"/>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1</cdr:x>
      <cdr:y>0.08128</cdr:y>
    </cdr:to>
    <cdr:sp macro="" textlink="">
      <cdr:nvSpPr>
        <cdr:cNvPr id="2" name="TextBox 15"/>
        <cdr:cNvSpPr txBox="1"/>
      </cdr:nvSpPr>
      <cdr:spPr>
        <a:xfrm xmlns:a="http://schemas.openxmlformats.org/drawingml/2006/main">
          <a:off x="0" y="0"/>
          <a:ext cx="2900680" cy="179615"/>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r>
            <a:rPr lang="de-DE" sz="800" b="1" dirty="0" smtClean="0"/>
            <a:t>SHAFFE: 36 %</a:t>
          </a:r>
          <a:r>
            <a:rPr lang="de-DE" sz="800" dirty="0" smtClean="0"/>
            <a:t> =&gt;  n°1 </a:t>
          </a:r>
          <a:r>
            <a:rPr lang="de-DE" sz="800" dirty="0"/>
            <a:t> </a:t>
          </a:r>
          <a:r>
            <a:rPr lang="de-DE" sz="800" dirty="0" smtClean="0"/>
            <a:t>with 5,2 billion $ out of 14,1 billion $  </a:t>
          </a:r>
          <a:endParaRPr lang="en-GB" sz="8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D5B7-D1BA-4E00-A904-CD5ABF85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Windows User</cp:lastModifiedBy>
  <cp:revision>2</cp:revision>
  <cp:lastPrinted>2018-08-11T07:24:00Z</cp:lastPrinted>
  <dcterms:created xsi:type="dcterms:W3CDTF">2018-09-10T12:32:00Z</dcterms:created>
  <dcterms:modified xsi:type="dcterms:W3CDTF">2018-09-10T12:32:00Z</dcterms:modified>
</cp:coreProperties>
</file>