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8654A3" w:rsidRDefault="005859D8" w:rsidP="006D6CCB">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CCB">
        <w:rPr>
          <w:rFonts w:asciiTheme="minorHAnsi" w:hAnsiTheme="minorHAnsi" w:cstheme="minorHAnsi"/>
          <w:b/>
          <w:i/>
          <w:sz w:val="24"/>
          <w:szCs w:val="24"/>
        </w:rPr>
        <w:t xml:space="preserve">UIT DIE PEN VAN DIE </w:t>
      </w:r>
      <w:r w:rsidRPr="008654A3">
        <w:rPr>
          <w:rFonts w:asciiTheme="minorHAnsi" w:hAnsiTheme="minorHAnsi" w:cstheme="minorHAnsi"/>
          <w:b/>
          <w:i/>
          <w:sz w:val="24"/>
          <w:szCs w:val="24"/>
        </w:rPr>
        <w:t>CEO (</w:t>
      </w:r>
      <w:r w:rsidR="00FF1311">
        <w:rPr>
          <w:rFonts w:asciiTheme="minorHAnsi" w:hAnsiTheme="minorHAnsi" w:cstheme="minorHAnsi"/>
          <w:b/>
          <w:i/>
          <w:sz w:val="24"/>
          <w:szCs w:val="24"/>
        </w:rPr>
        <w:t>17</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6D6CCB">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w:t>
      </w:r>
      <w:r w:rsidR="006D6CCB">
        <w:rPr>
          <w:rFonts w:asciiTheme="minorHAnsi" w:hAnsiTheme="minorHAnsi" w:cstheme="minorHAnsi"/>
          <w:b/>
          <w:color w:val="FF0000"/>
          <w:sz w:val="24"/>
          <w:szCs w:val="24"/>
        </w:rPr>
        <w:t>Volg my op T</w:t>
      </w:r>
      <w:r w:rsidRPr="008654A3">
        <w:rPr>
          <w:rFonts w:asciiTheme="minorHAnsi" w:hAnsiTheme="minorHAnsi" w:cstheme="minorHAnsi"/>
          <w:b/>
          <w:color w:val="FF0000"/>
          <w:sz w:val="24"/>
          <w:szCs w:val="24"/>
        </w:rPr>
        <w:t>witter justchad_cga)</w:t>
      </w:r>
    </w:p>
    <w:p w:rsidR="00361403" w:rsidRPr="008654A3" w:rsidRDefault="00FF1311" w:rsidP="006D6CCB">
      <w:pPr>
        <w:rPr>
          <w:rFonts w:asciiTheme="minorHAnsi" w:hAnsiTheme="minorHAnsi" w:cstheme="minorHAnsi"/>
          <w:i/>
          <w:sz w:val="24"/>
          <w:szCs w:val="24"/>
        </w:rPr>
      </w:pPr>
      <w:r>
        <w:rPr>
          <w:rFonts w:asciiTheme="minorHAnsi" w:hAnsiTheme="minorHAnsi" w:cstheme="minorHAnsi"/>
          <w:i/>
          <w:sz w:val="24"/>
          <w:szCs w:val="24"/>
        </w:rPr>
        <w:t>Justin Chadwick 7 M</w:t>
      </w:r>
      <w:r w:rsidR="006D6CCB">
        <w:rPr>
          <w:rFonts w:asciiTheme="minorHAnsi" w:hAnsiTheme="minorHAnsi" w:cstheme="minorHAnsi"/>
          <w:i/>
          <w:sz w:val="24"/>
          <w:szCs w:val="24"/>
        </w:rPr>
        <w:t>ei</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rsidTr="00ED209B">
        <w:trPr>
          <w:trHeight w:val="555"/>
          <w:tblCellSpacing w:w="0" w:type="dxa"/>
        </w:trPr>
        <w:tc>
          <w:tcPr>
            <w:tcW w:w="10824" w:type="dxa"/>
            <w:vAlign w:val="center"/>
          </w:tcPr>
          <w:p w:rsidR="00836320" w:rsidRPr="00CE0436" w:rsidRDefault="00CE0436" w:rsidP="00E62F08">
            <w:pPr>
              <w:spacing w:after="0"/>
              <w:ind w:right="-329"/>
              <w:rPr>
                <w:rFonts w:asciiTheme="minorHAnsi" w:hAnsiTheme="minorHAnsi" w:cstheme="minorHAnsi"/>
                <w:b/>
                <w:i/>
                <w:sz w:val="28"/>
                <w:szCs w:val="28"/>
                <w:lang w:val="en-US"/>
              </w:rPr>
            </w:pPr>
            <w:r w:rsidRPr="00CE0436">
              <w:rPr>
                <w:rFonts w:ascii="Arial" w:hAnsi="Arial" w:cs="Arial"/>
                <w:b/>
                <w:i/>
                <w:color w:val="2D2D2D"/>
                <w:shd w:val="clear" w:color="auto" w:fill="FFFFFF"/>
              </w:rPr>
              <w:t>“</w:t>
            </w:r>
            <w:r w:rsidR="00FF1311" w:rsidRPr="00FF1311">
              <w:rPr>
                <w:rStyle w:val="Emphasis"/>
                <w:rFonts w:ascii="Arial" w:hAnsi="Arial" w:cs="Arial"/>
                <w:b/>
                <w:color w:val="222222"/>
                <w:sz w:val="23"/>
                <w:szCs w:val="23"/>
                <w:bdr w:val="none" w:sz="0" w:space="0" w:color="auto" w:frame="1"/>
                <w:shd w:val="clear" w:color="auto" w:fill="FFFFFF"/>
              </w:rPr>
              <w:t>A man who wants to lead the orchestra must turn his back on the crowd”</w:t>
            </w:r>
            <w:r w:rsidR="00FF1311" w:rsidRPr="00FF1311">
              <w:rPr>
                <w:rFonts w:ascii="Arial" w:hAnsi="Arial" w:cs="Arial"/>
                <w:b/>
                <w:color w:val="222222"/>
                <w:sz w:val="23"/>
                <w:szCs w:val="23"/>
                <w:shd w:val="clear" w:color="auto" w:fill="FFFFFF"/>
              </w:rPr>
              <w:t> </w:t>
            </w:r>
            <w:r w:rsidR="00FF1311" w:rsidRPr="00FF1311">
              <w:rPr>
                <w:rStyle w:val="Strong"/>
                <w:rFonts w:ascii="Arial" w:hAnsi="Arial" w:cs="Arial"/>
                <w:i/>
                <w:color w:val="222222"/>
                <w:sz w:val="23"/>
                <w:szCs w:val="23"/>
                <w:bdr w:val="none" w:sz="0" w:space="0" w:color="auto" w:frame="1"/>
                <w:shd w:val="clear" w:color="auto" w:fill="FFFFFF"/>
              </w:rPr>
              <w:t>James Crook</w:t>
            </w:r>
          </w:p>
        </w:tc>
      </w:tr>
    </w:tbl>
    <w:p w:rsidR="006D6CCB" w:rsidRPr="007616C7" w:rsidRDefault="006D6CCB" w:rsidP="006D6CCB">
      <w:pPr>
        <w:spacing w:after="0" w:line="240" w:lineRule="auto"/>
        <w:jc w:val="both"/>
        <w:rPr>
          <w:b/>
          <w:bCs/>
          <w:noProof/>
          <w:color w:val="7030A0"/>
          <w:u w:val="single"/>
          <w:lang w:val="af-ZA"/>
        </w:rPr>
      </w:pPr>
      <w:r w:rsidRPr="007616C7">
        <w:rPr>
          <w:b/>
          <w:bCs/>
          <w:noProof/>
          <w:color w:val="7030A0"/>
          <w:u w:val="single"/>
          <w:lang w:val="af-ZA"/>
        </w:rPr>
        <w:t xml:space="preserve">MARKTOEGANG: </w:t>
      </w:r>
      <w:r w:rsidRPr="007616C7">
        <w:rPr>
          <w:rFonts w:asciiTheme="minorHAnsi" w:eastAsia="Times New Roman" w:hAnsiTheme="minorHAnsi" w:cstheme="minorHAnsi"/>
          <w:b/>
          <w:noProof/>
          <w:color w:val="7030A0"/>
          <w:u w:val="single"/>
          <w:lang w:val="af-ZA"/>
        </w:rPr>
        <w:t>INDONESI</w:t>
      </w:r>
      <w:r w:rsidR="007616C7" w:rsidRPr="007616C7">
        <w:rPr>
          <w:rFonts w:cs="Calibri"/>
          <w:b/>
          <w:bCs/>
          <w:noProof/>
          <w:color w:val="7030A0"/>
          <w:u w:val="single"/>
          <w:lang w:val="af-ZA"/>
        </w:rPr>
        <w:t>Ë</w:t>
      </w:r>
    </w:p>
    <w:p w:rsidR="006D6CCB" w:rsidRPr="006D6CCB" w:rsidRDefault="006D6CCB" w:rsidP="00CD40BC">
      <w:pPr>
        <w:spacing w:after="0" w:line="240" w:lineRule="auto"/>
        <w:jc w:val="both"/>
        <w:rPr>
          <w:noProof/>
          <w:sz w:val="23"/>
          <w:szCs w:val="23"/>
          <w:lang w:val="af-ZA"/>
        </w:rPr>
      </w:pPr>
      <w:r w:rsidRPr="006D6CCB">
        <w:rPr>
          <w:noProof/>
          <w:sz w:val="23"/>
          <w:szCs w:val="23"/>
          <w:lang w:val="af-ZA"/>
        </w:rPr>
        <w:t>Lande wat met Indonesië handel dryf, het 'n groot voordeel as hulle 'n “Mutual Country Agreement” (MCA) gesluit het. Bo en behalwe ander voordele laat die MCA uitvoerders toe om in die hawe van Jakarta af te laai, en erken ook die voedselveiligheidsertifisering van die land van oorsprong. Die MCA is vir 'n tydperk van drie jaar geldig. Suid-Afrika het vanaf 2018 'n MCA gehad wat in April 2021 verval het. Ten spyte van ‘n tydige aansoek om hernuwing, en die indiening van al die dokumen</w:t>
      </w:r>
      <w:r w:rsidR="00CD40BC">
        <w:rPr>
          <w:noProof/>
          <w:sz w:val="23"/>
          <w:szCs w:val="23"/>
          <w:lang w:val="af-ZA"/>
        </w:rPr>
        <w:t>tasie,</w:t>
      </w:r>
      <w:r w:rsidRPr="006D6CCB">
        <w:rPr>
          <w:noProof/>
          <w:sz w:val="23"/>
          <w:szCs w:val="23"/>
          <w:lang w:val="af-ZA"/>
        </w:rPr>
        <w:t xml:space="preserve"> het die MCA verval sonder dat 'n hernuwing toegestaan is. Dit was baie kommerwekkend vir diegene wat na Indonesië wou uitvoer.</w:t>
      </w:r>
    </w:p>
    <w:p w:rsidR="006D6CCB" w:rsidRPr="006D6CCB" w:rsidRDefault="006D6CCB" w:rsidP="006D6CCB">
      <w:pPr>
        <w:spacing w:after="0" w:line="240" w:lineRule="auto"/>
        <w:jc w:val="both"/>
        <w:rPr>
          <w:noProof/>
          <w:sz w:val="23"/>
          <w:szCs w:val="23"/>
          <w:lang w:val="af-ZA"/>
        </w:rPr>
      </w:pPr>
      <w:r w:rsidRPr="006D6CCB">
        <w:rPr>
          <w:noProof/>
          <w:sz w:val="23"/>
          <w:szCs w:val="23"/>
          <w:lang w:val="af-ZA"/>
        </w:rPr>
        <w:t xml:space="preserve">Die goeie nuus is dat Suid-Afrika die MCA vir nog drie jaar met Indonesië gesluit het. Dankie aan Departement Landbou, Grondhervorming en Landelike Ontwikkeling (DALRRD), die Fresh Produce Exporters Forum en ambassadeur Fisher by die Ambassade in Jakarta vir </w:t>
      </w:r>
      <w:r w:rsidR="00CD40BC">
        <w:rPr>
          <w:noProof/>
          <w:sz w:val="23"/>
          <w:szCs w:val="23"/>
          <w:lang w:val="af-ZA"/>
        </w:rPr>
        <w:t xml:space="preserve">hul aandeel in </w:t>
      </w:r>
      <w:r>
        <w:rPr>
          <w:noProof/>
          <w:sz w:val="23"/>
          <w:szCs w:val="23"/>
          <w:lang w:val="af-ZA"/>
        </w:rPr>
        <w:t xml:space="preserve">die </w:t>
      </w:r>
      <w:r w:rsidRPr="006D6CCB">
        <w:rPr>
          <w:noProof/>
          <w:sz w:val="23"/>
          <w:szCs w:val="23"/>
          <w:lang w:val="af-ZA"/>
        </w:rPr>
        <w:t xml:space="preserve">verlenging van die MCA.  </w:t>
      </w:r>
    </w:p>
    <w:p w:rsidR="006D6CCB" w:rsidRPr="006D6CCB" w:rsidRDefault="006D6CCB" w:rsidP="006D6CCB">
      <w:pPr>
        <w:spacing w:after="0" w:line="240" w:lineRule="auto"/>
        <w:jc w:val="both"/>
        <w:rPr>
          <w:rFonts w:asciiTheme="minorHAnsi" w:eastAsia="Times New Roman" w:hAnsiTheme="minorHAnsi" w:cstheme="minorHAnsi"/>
          <w:b/>
          <w:bCs/>
          <w:noProof/>
          <w:color w:val="7030A0"/>
          <w:sz w:val="23"/>
          <w:szCs w:val="23"/>
          <w:u w:val="single"/>
          <w:lang w:val="af-ZA"/>
        </w:rPr>
      </w:pPr>
      <w:r w:rsidRPr="006D6CCB">
        <w:rPr>
          <w:rFonts w:asciiTheme="minorHAnsi" w:eastAsia="Times New Roman" w:hAnsiTheme="minorHAnsi" w:cstheme="minorHAnsi"/>
          <w:b/>
          <w:bCs/>
          <w:noProof/>
          <w:color w:val="7030A0"/>
          <w:sz w:val="23"/>
          <w:szCs w:val="23"/>
          <w:u w:val="single"/>
          <w:lang w:val="af-ZA"/>
        </w:rPr>
        <w:t xml:space="preserve">MARKTOEGANG: </w:t>
      </w:r>
      <w:r w:rsidR="005543EF">
        <w:rPr>
          <w:rFonts w:asciiTheme="minorHAnsi" w:eastAsia="Times New Roman" w:hAnsiTheme="minorHAnsi" w:cstheme="minorHAnsi"/>
          <w:b/>
          <w:bCs/>
          <w:noProof/>
          <w:color w:val="7030A0"/>
          <w:sz w:val="23"/>
          <w:szCs w:val="23"/>
          <w:u w:val="single"/>
          <w:lang w:val="af-ZA"/>
        </w:rPr>
        <w:t xml:space="preserve">DIE </w:t>
      </w:r>
      <w:r w:rsidRPr="006D6CCB">
        <w:rPr>
          <w:rFonts w:asciiTheme="minorHAnsi" w:eastAsia="Times New Roman" w:hAnsiTheme="minorHAnsi" w:cstheme="minorHAnsi"/>
          <w:b/>
          <w:bCs/>
          <w:noProof/>
          <w:color w:val="7030A0"/>
          <w:sz w:val="23"/>
          <w:szCs w:val="23"/>
          <w:u w:val="single"/>
          <w:lang w:val="af-ZA"/>
        </w:rPr>
        <w:t>FILIPPYNE</w:t>
      </w:r>
    </w:p>
    <w:p w:rsidR="006D6CCB" w:rsidRPr="006D6CCB" w:rsidRDefault="006D6CCB" w:rsidP="006D6CCB">
      <w:pPr>
        <w:spacing w:after="0" w:line="240" w:lineRule="auto"/>
        <w:jc w:val="both"/>
        <w:rPr>
          <w:rFonts w:asciiTheme="minorHAnsi" w:eastAsia="Times New Roman" w:hAnsiTheme="minorHAnsi" w:cstheme="minorHAnsi"/>
          <w:noProof/>
          <w:sz w:val="23"/>
          <w:szCs w:val="23"/>
          <w:lang w:val="af-ZA"/>
        </w:rPr>
      </w:pPr>
      <w:r w:rsidRPr="006D6CCB">
        <w:rPr>
          <w:rFonts w:asciiTheme="minorHAnsi" w:eastAsia="Times New Roman" w:hAnsiTheme="minorHAnsi" w:cstheme="minorHAnsi"/>
          <w:noProof/>
          <w:sz w:val="23"/>
          <w:szCs w:val="23"/>
          <w:lang w:val="af-ZA"/>
        </w:rPr>
        <w:t>Uitvoerders vanaf Suid-Afrika en invoerders in die Filippyne sien uit na die eerste verskepings van Suid-Afrikaanse sitrus in 2021 na die voltooi</w:t>
      </w:r>
      <w:r w:rsidR="005543EF">
        <w:rPr>
          <w:rFonts w:asciiTheme="minorHAnsi" w:eastAsia="Times New Roman" w:hAnsiTheme="minorHAnsi" w:cstheme="minorHAnsi"/>
          <w:noProof/>
          <w:sz w:val="23"/>
          <w:szCs w:val="23"/>
          <w:lang w:val="af-ZA"/>
        </w:rPr>
        <w:t>i</w:t>
      </w:r>
      <w:r w:rsidRPr="006D6CCB">
        <w:rPr>
          <w:rFonts w:asciiTheme="minorHAnsi" w:eastAsia="Times New Roman" w:hAnsiTheme="minorHAnsi" w:cstheme="minorHAnsi"/>
          <w:noProof/>
          <w:sz w:val="23"/>
          <w:szCs w:val="23"/>
          <w:lang w:val="af-ZA"/>
        </w:rPr>
        <w:t xml:space="preserve">ng van 'n protokol in 2020. Invoerders vind dit egter onmoontlik om invoerpermitte te kry. Soos met enige nuwe mark, is daar altyd 'n paar aanvangskwessies - en in die geval van </w:t>
      </w:r>
      <w:r w:rsidR="005543EF">
        <w:rPr>
          <w:rFonts w:asciiTheme="minorHAnsi" w:eastAsia="Times New Roman" w:hAnsiTheme="minorHAnsi" w:cstheme="minorHAnsi"/>
          <w:noProof/>
          <w:sz w:val="23"/>
          <w:szCs w:val="23"/>
          <w:lang w:val="af-ZA"/>
        </w:rPr>
        <w:t xml:space="preserve">die </w:t>
      </w:r>
      <w:r w:rsidRPr="006D6CCB">
        <w:rPr>
          <w:rFonts w:asciiTheme="minorHAnsi" w:eastAsia="Times New Roman" w:hAnsiTheme="minorHAnsi" w:cstheme="minorHAnsi"/>
          <w:noProof/>
          <w:sz w:val="23"/>
          <w:szCs w:val="23"/>
          <w:lang w:val="af-ZA"/>
        </w:rPr>
        <w:t>Filippyne was dit om die lyste van produksie-eenhede en uitvoerders deur die Bureau for Plant and Industry (BPI) in Manila goedgekeur te kry. DALRRD het aangedui dat al die lyste nou ingedien is. Laat weet my asseblief (justchad@iafrica.com) as u probleme ondervind. Dit is belangrik dat invoerders die regte naam van uitvoerders moet verskaf (soos op die lys wat aan Manila voorgelê is) om vertragings te voorkom. CGA het 'n afskrif van die lys en kan help met die bevestiging van die regte naam (ons kan nie die lys aan u stuur nie, maar ons kan per e-pos help of bevestig wat op die lys staan).</w:t>
      </w:r>
    </w:p>
    <w:p w:rsidR="00A020D7" w:rsidRPr="00A020D7" w:rsidRDefault="00A020D7" w:rsidP="00A020D7">
      <w:pPr>
        <w:spacing w:after="0" w:line="240" w:lineRule="auto"/>
        <w:jc w:val="both"/>
        <w:rPr>
          <w:rFonts w:asciiTheme="minorHAnsi" w:eastAsia="Times New Roman" w:hAnsiTheme="minorHAnsi" w:cstheme="minorHAnsi"/>
          <w:b/>
          <w:bCs/>
          <w:noProof/>
          <w:color w:val="7030A0"/>
          <w:sz w:val="23"/>
          <w:szCs w:val="23"/>
          <w:u w:val="single"/>
          <w:lang w:val="af-ZA"/>
        </w:rPr>
      </w:pPr>
      <w:r w:rsidRPr="00A020D7">
        <w:rPr>
          <w:rFonts w:asciiTheme="minorHAnsi" w:eastAsia="Times New Roman" w:hAnsiTheme="minorHAnsi" w:cstheme="minorHAnsi"/>
          <w:b/>
          <w:bCs/>
          <w:noProof/>
          <w:color w:val="7030A0"/>
          <w:sz w:val="23"/>
          <w:szCs w:val="23"/>
          <w:u w:val="single"/>
          <w:lang w:val="af-ZA"/>
        </w:rPr>
        <w:t>MARKTOEGANG: CHINA</w:t>
      </w:r>
    </w:p>
    <w:p w:rsidR="00A020D7" w:rsidRPr="00A020D7" w:rsidRDefault="00A020D7" w:rsidP="00CD40BC">
      <w:pPr>
        <w:spacing w:after="0" w:line="240" w:lineRule="auto"/>
        <w:jc w:val="both"/>
        <w:rPr>
          <w:rFonts w:asciiTheme="minorHAnsi" w:eastAsia="Times New Roman" w:hAnsiTheme="minorHAnsi" w:cstheme="minorHAnsi"/>
          <w:noProof/>
          <w:sz w:val="23"/>
          <w:szCs w:val="23"/>
          <w:lang w:val="af-ZA"/>
        </w:rPr>
      </w:pPr>
      <w:r w:rsidRPr="00A020D7">
        <w:rPr>
          <w:rFonts w:asciiTheme="minorHAnsi" w:eastAsia="Times New Roman" w:hAnsiTheme="minorHAnsi" w:cstheme="minorHAnsi"/>
          <w:noProof/>
          <w:sz w:val="23"/>
          <w:szCs w:val="23"/>
          <w:lang w:val="af-ZA"/>
        </w:rPr>
        <w:t xml:space="preserve">Volgens die protokol met China word die geregistreerde lys (die sogenaamde "China List") elke jaar na China gestuur, en sodra dit goedgekeur is, kan die geregistreerde produksie-eenhede en “food business operators” produkte na China stuur. Ongelukkig het die 2021-Chinese lys 'n paar vertragings gehad en is dit nie goedgekeur nie, wat beteken dat die Chinese mark slegs oop is vir diegene wat in 2020 deur China geregistreer en goedgekeur is. Alhoewel die vereistes vir goedkeuring in 2021 deur China </w:t>
      </w:r>
      <w:r>
        <w:rPr>
          <w:rFonts w:asciiTheme="minorHAnsi" w:eastAsia="Times New Roman" w:hAnsiTheme="minorHAnsi" w:cstheme="minorHAnsi"/>
          <w:noProof/>
          <w:sz w:val="23"/>
          <w:szCs w:val="23"/>
          <w:lang w:val="af-ZA"/>
        </w:rPr>
        <w:t>nie sin maak nie</w:t>
      </w:r>
      <w:r w:rsidRPr="00A020D7">
        <w:rPr>
          <w:rFonts w:asciiTheme="minorHAnsi" w:eastAsia="Times New Roman" w:hAnsiTheme="minorHAnsi" w:cstheme="minorHAnsi"/>
          <w:noProof/>
          <w:sz w:val="23"/>
          <w:szCs w:val="23"/>
          <w:lang w:val="af-ZA"/>
        </w:rPr>
        <w:t xml:space="preserve">, is DALRRD en die bedryf besig om aan hierdie vereistes te voldoen, en hoop dat al die aksies sonder te veel vertragings </w:t>
      </w:r>
      <w:r w:rsidR="00CD40BC">
        <w:rPr>
          <w:rFonts w:asciiTheme="minorHAnsi" w:eastAsia="Times New Roman" w:hAnsiTheme="minorHAnsi" w:cstheme="minorHAnsi"/>
          <w:noProof/>
          <w:sz w:val="23"/>
          <w:szCs w:val="23"/>
          <w:lang w:val="af-ZA"/>
        </w:rPr>
        <w:t xml:space="preserve">afgehandel </w:t>
      </w:r>
      <w:bookmarkStart w:id="0" w:name="_GoBack"/>
      <w:bookmarkEnd w:id="0"/>
      <w:r w:rsidRPr="00A020D7">
        <w:rPr>
          <w:rFonts w:asciiTheme="minorHAnsi" w:eastAsia="Times New Roman" w:hAnsiTheme="minorHAnsi" w:cstheme="minorHAnsi"/>
          <w:noProof/>
          <w:sz w:val="23"/>
          <w:szCs w:val="23"/>
          <w:lang w:val="af-ZA"/>
        </w:rPr>
        <w:t>sal word.</w:t>
      </w:r>
    </w:p>
    <w:p w:rsidR="00A020D7" w:rsidRDefault="00A020D7" w:rsidP="00A020D7">
      <w:pPr>
        <w:spacing w:after="0"/>
        <w:rPr>
          <w:rFonts w:asciiTheme="minorHAnsi" w:eastAsiaTheme="minorHAnsi" w:hAnsiTheme="minorHAnsi" w:cstheme="minorBidi"/>
          <w:b/>
          <w:bCs/>
          <w:color w:val="7030A0"/>
          <w:u w:val="single"/>
          <w:lang w:val="en-US"/>
        </w:rPr>
      </w:pPr>
      <w:r>
        <w:rPr>
          <w:rFonts w:asciiTheme="minorHAnsi" w:eastAsiaTheme="minorHAnsi" w:hAnsiTheme="minorHAnsi" w:cstheme="minorBidi"/>
          <w:b/>
          <w:bCs/>
          <w:color w:val="7030A0"/>
          <w:u w:val="single"/>
          <w:lang w:val="en-US"/>
        </w:rPr>
        <w:t>CGA DIREKTEURE</w:t>
      </w:r>
    </w:p>
    <w:p w:rsidR="00A020D7" w:rsidRPr="001C6F22" w:rsidRDefault="00A020D7" w:rsidP="00A020D7">
      <w:pPr>
        <w:spacing w:line="240" w:lineRule="auto"/>
        <w:rPr>
          <w:rFonts w:asciiTheme="minorHAnsi" w:eastAsiaTheme="minorHAnsi" w:hAnsiTheme="minorHAnsi" w:cstheme="minorBidi"/>
          <w:noProof/>
          <w:lang w:val="af-ZA"/>
        </w:rPr>
      </w:pPr>
      <w:r w:rsidRPr="001C6F22">
        <w:rPr>
          <w:rFonts w:asciiTheme="minorHAnsi" w:eastAsiaTheme="minorHAnsi" w:hAnsiTheme="minorHAnsi" w:cstheme="minorBidi"/>
          <w:noProof/>
          <w:lang w:val="af-ZA"/>
        </w:rPr>
        <w:t>Die CGA direkteure word deur hul onderskeie streke verkies en ontvang geen finansiële vergoeding vir die tyd en moeite wat hulle aan CGA aktiwiteite bestee nie. 2021 is die tien jaar merk as direkteure vir beide Charles Rossouw (Senwes) en Paul Bristow (Zimbabwe). Hulle sluit aan by vyf ander direkteure wat meer as tien jaar gedien het; George Hall (19 jaar Boland), Jock Danckwerts (18 jaar Oos-Kaapse Middellande), Per Noddeboe (18 jaar Eswatini), Mike Woodburn (11 jaar KZN) en Phillip Dempsey (11 jaar Patensie).</w:t>
      </w:r>
    </w:p>
    <w:p w:rsidR="008A5702" w:rsidRPr="008A5702" w:rsidRDefault="001C6F22" w:rsidP="001C6F22">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GEPAK EN VERSKEEP</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6"/>
        <w:gridCol w:w="747"/>
        <w:gridCol w:w="912"/>
        <w:gridCol w:w="810"/>
        <w:gridCol w:w="990"/>
        <w:gridCol w:w="990"/>
        <w:gridCol w:w="1355"/>
        <w:gridCol w:w="1579"/>
        <w:gridCol w:w="1047"/>
      </w:tblGrid>
      <w:tr w:rsidR="001C6F22" w:rsidRPr="001C6F22" w:rsidTr="00CD40BC">
        <w:trPr>
          <w:trHeight w:val="401"/>
        </w:trPr>
        <w:tc>
          <w:tcPr>
            <w:tcW w:w="2026" w:type="dxa"/>
          </w:tcPr>
          <w:p w:rsidR="0023386D" w:rsidRPr="001C6F22" w:rsidRDefault="0023386D" w:rsidP="00C42806">
            <w:pPr>
              <w:spacing w:after="0" w:line="240" w:lineRule="auto"/>
              <w:rPr>
                <w:rFonts w:ascii="Arial" w:hAnsi="Arial" w:cs="Arial"/>
                <w:noProof/>
                <w:sz w:val="18"/>
                <w:szCs w:val="18"/>
                <w:lang w:val="af-ZA"/>
              </w:rPr>
            </w:pPr>
            <w:r w:rsidRPr="001C6F22">
              <w:rPr>
                <w:rFonts w:ascii="Arial" w:hAnsi="Arial" w:cs="Arial"/>
                <w:noProof/>
                <w:sz w:val="18"/>
                <w:szCs w:val="18"/>
                <w:lang w:val="af-ZA"/>
              </w:rPr>
              <w:t>To</w:t>
            </w:r>
            <w:r w:rsidR="001C6F22">
              <w:rPr>
                <w:rFonts w:ascii="Arial" w:hAnsi="Arial" w:cs="Arial"/>
                <w:noProof/>
                <w:sz w:val="18"/>
                <w:szCs w:val="18"/>
                <w:lang w:val="af-ZA"/>
              </w:rPr>
              <w:t>t</w:t>
            </w:r>
            <w:r w:rsidRPr="001C6F22">
              <w:rPr>
                <w:rFonts w:ascii="Arial" w:hAnsi="Arial" w:cs="Arial"/>
                <w:noProof/>
                <w:sz w:val="18"/>
                <w:szCs w:val="18"/>
                <w:lang w:val="af-ZA"/>
              </w:rPr>
              <w:t xml:space="preserve"> Week 18</w:t>
            </w:r>
          </w:p>
          <w:p w:rsidR="0023386D" w:rsidRPr="001C6F22" w:rsidRDefault="0023386D" w:rsidP="001C6F22">
            <w:pPr>
              <w:spacing w:after="0" w:line="240" w:lineRule="auto"/>
              <w:rPr>
                <w:rFonts w:ascii="Arial" w:hAnsi="Arial" w:cs="Arial"/>
                <w:noProof/>
                <w:sz w:val="18"/>
                <w:szCs w:val="18"/>
                <w:lang w:val="af-ZA"/>
              </w:rPr>
            </w:pPr>
            <w:r w:rsidRPr="001C6F22">
              <w:rPr>
                <w:rFonts w:ascii="Arial" w:hAnsi="Arial" w:cs="Arial"/>
                <w:noProof/>
                <w:sz w:val="18"/>
                <w:szCs w:val="18"/>
                <w:lang w:val="af-ZA"/>
              </w:rPr>
              <w:t>M</w:t>
            </w:r>
            <w:r w:rsidR="001C6F22">
              <w:rPr>
                <w:rFonts w:ascii="Arial" w:hAnsi="Arial" w:cs="Arial"/>
                <w:noProof/>
                <w:sz w:val="18"/>
                <w:szCs w:val="18"/>
                <w:lang w:val="af-ZA"/>
              </w:rPr>
              <w:t xml:space="preserve">iljoen </w:t>
            </w:r>
            <w:r w:rsidRPr="001C6F22">
              <w:rPr>
                <w:rFonts w:ascii="Arial" w:hAnsi="Arial" w:cs="Arial"/>
                <w:noProof/>
                <w:sz w:val="18"/>
                <w:szCs w:val="18"/>
                <w:lang w:val="af-ZA"/>
              </w:rPr>
              <w:t xml:space="preserve">15 Kg </w:t>
            </w:r>
            <w:r w:rsidR="001C6F22">
              <w:rPr>
                <w:rFonts w:ascii="Arial" w:hAnsi="Arial" w:cs="Arial"/>
                <w:noProof/>
                <w:sz w:val="18"/>
                <w:szCs w:val="18"/>
                <w:lang w:val="af-ZA"/>
              </w:rPr>
              <w:t>Kartonne</w:t>
            </w:r>
          </w:p>
        </w:tc>
        <w:tc>
          <w:tcPr>
            <w:tcW w:w="747" w:type="dxa"/>
            <w:shd w:val="clear" w:color="auto" w:fill="CCCCCC"/>
          </w:tcPr>
          <w:p w:rsidR="0023386D" w:rsidRPr="001C6F22" w:rsidRDefault="001C6F22" w:rsidP="00C42806">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23386D" w:rsidRPr="001C6F22">
              <w:rPr>
                <w:rFonts w:ascii="Arial" w:hAnsi="Arial" w:cs="Arial"/>
                <w:noProof/>
                <w:sz w:val="18"/>
                <w:szCs w:val="18"/>
                <w:lang w:val="af-ZA"/>
              </w:rPr>
              <w:t xml:space="preserve"> </w:t>
            </w:r>
          </w:p>
        </w:tc>
        <w:tc>
          <w:tcPr>
            <w:tcW w:w="912" w:type="dxa"/>
            <w:tcBorders>
              <w:right w:val="thinThickSmallGap" w:sz="24" w:space="0" w:color="auto"/>
            </w:tcBorders>
            <w:shd w:val="clear" w:color="auto" w:fill="CCCCCC"/>
          </w:tcPr>
          <w:p w:rsidR="0023386D" w:rsidRPr="001C6F22" w:rsidRDefault="001C6F22" w:rsidP="00C42806">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810" w:type="dxa"/>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23386D" w:rsidRPr="001C6F22" w:rsidRDefault="001C6F22" w:rsidP="00C42806">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left w:val="thinThickSmallGap" w:sz="24" w:space="0" w:color="auto"/>
              <w:right w:val="thinThickSmallGap" w:sz="24" w:space="0" w:color="auto"/>
            </w:tcBorders>
            <w:shd w:val="clear" w:color="auto" w:fill="E6E6E6"/>
          </w:tcPr>
          <w:p w:rsidR="0023386D" w:rsidRPr="001C6F22" w:rsidRDefault="001C6F22" w:rsidP="00C42806">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990" w:type="dxa"/>
            <w:tcBorders>
              <w:top w:val="thinThickSmallGap" w:sz="24" w:space="0" w:color="auto"/>
              <w:left w:val="thinThickSmallGap" w:sz="24" w:space="0" w:color="auto"/>
              <w:right w:val="thinThickSmallGap" w:sz="24" w:space="0" w:color="auto"/>
            </w:tcBorders>
            <w:shd w:val="clear" w:color="auto" w:fill="E6E6E6"/>
          </w:tcPr>
          <w:p w:rsidR="0023386D" w:rsidRPr="001C6F22" w:rsidRDefault="001C6F22" w:rsidP="001C6F22">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355" w:type="dxa"/>
            <w:tcBorders>
              <w:left w:val="thinThickSmallGap" w:sz="24" w:space="0" w:color="auto"/>
            </w:tcBorders>
            <w:shd w:val="clear" w:color="auto" w:fill="E6E6E6"/>
          </w:tcPr>
          <w:p w:rsidR="0023386D" w:rsidRPr="001C6F22" w:rsidRDefault="001C6F22" w:rsidP="001C6F22">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579" w:type="dxa"/>
            <w:shd w:val="clear" w:color="auto" w:fill="E6E6E6"/>
          </w:tcPr>
          <w:p w:rsidR="0023386D" w:rsidRPr="001C6F22" w:rsidRDefault="001C6F22" w:rsidP="001C6F22">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1047" w:type="dxa"/>
            <w:shd w:val="clear" w:color="auto" w:fill="E6E6E6"/>
          </w:tcPr>
          <w:p w:rsidR="0023386D" w:rsidRPr="001C6F22" w:rsidRDefault="0023386D" w:rsidP="001C6F22">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Fin</w:t>
            </w:r>
            <w:r w:rsidR="001C6F22">
              <w:rPr>
                <w:rFonts w:ascii="Arial" w:hAnsi="Arial" w:cs="Arial"/>
                <w:noProof/>
                <w:sz w:val="18"/>
                <w:szCs w:val="18"/>
                <w:lang w:val="af-ZA"/>
              </w:rPr>
              <w:t>a</w:t>
            </w:r>
            <w:r w:rsidRPr="001C6F22">
              <w:rPr>
                <w:rFonts w:ascii="Arial" w:hAnsi="Arial" w:cs="Arial"/>
                <w:noProof/>
                <w:sz w:val="18"/>
                <w:szCs w:val="18"/>
                <w:lang w:val="af-ZA"/>
              </w:rPr>
              <w:t xml:space="preserve">al </w:t>
            </w:r>
            <w:r w:rsidR="001C6F22">
              <w:rPr>
                <w:rFonts w:ascii="Arial" w:hAnsi="Arial" w:cs="Arial"/>
                <w:noProof/>
                <w:sz w:val="18"/>
                <w:szCs w:val="18"/>
                <w:lang w:val="af-ZA"/>
              </w:rPr>
              <w:t>Gepak</w:t>
            </w:r>
          </w:p>
          <w:p w:rsidR="0023386D" w:rsidRPr="001C6F22" w:rsidRDefault="0023386D" w:rsidP="00C42806">
            <w:pPr>
              <w:spacing w:after="0" w:line="240" w:lineRule="auto"/>
              <w:jc w:val="right"/>
              <w:rPr>
                <w:rFonts w:ascii="Arial" w:hAnsi="Arial" w:cs="Arial"/>
                <w:noProof/>
                <w:sz w:val="18"/>
                <w:szCs w:val="18"/>
                <w:lang w:val="af-ZA"/>
              </w:rPr>
            </w:pPr>
          </w:p>
        </w:tc>
      </w:tr>
      <w:tr w:rsidR="001C6F22" w:rsidRPr="001C6F22" w:rsidTr="00CD40BC">
        <w:trPr>
          <w:trHeight w:val="200"/>
        </w:trPr>
        <w:tc>
          <w:tcPr>
            <w:tcW w:w="2026" w:type="dxa"/>
          </w:tcPr>
          <w:p w:rsidR="0023386D" w:rsidRPr="001C6F22" w:rsidRDefault="001C6F22" w:rsidP="001C6F22">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23386D" w:rsidRPr="001C6F22">
              <w:rPr>
                <w:rFonts w:ascii="Arial" w:hAnsi="Arial" w:cs="Arial"/>
                <w:b/>
                <w:noProof/>
                <w:sz w:val="18"/>
                <w:szCs w:val="18"/>
                <w:lang w:val="af-ZA"/>
              </w:rPr>
              <w:t>: PPECB</w:t>
            </w:r>
          </w:p>
        </w:tc>
        <w:tc>
          <w:tcPr>
            <w:tcW w:w="747" w:type="dxa"/>
            <w:shd w:val="clear" w:color="auto" w:fill="CCCCCC"/>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2019</w:t>
            </w:r>
          </w:p>
        </w:tc>
        <w:tc>
          <w:tcPr>
            <w:tcW w:w="912" w:type="dxa"/>
            <w:tcBorders>
              <w:right w:val="thinThickSmallGap" w:sz="24" w:space="0" w:color="auto"/>
            </w:tcBorders>
            <w:shd w:val="clear" w:color="auto" w:fill="CCCCCC"/>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2020</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2021</w:t>
            </w:r>
          </w:p>
        </w:tc>
        <w:tc>
          <w:tcPr>
            <w:tcW w:w="990" w:type="dxa"/>
            <w:tcBorders>
              <w:left w:val="thinThickSmallGap" w:sz="24" w:space="0" w:color="auto"/>
              <w:righ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2020</w:t>
            </w:r>
          </w:p>
        </w:tc>
        <w:tc>
          <w:tcPr>
            <w:tcW w:w="990" w:type="dxa"/>
            <w:tcBorders>
              <w:left w:val="thinThickSmallGap" w:sz="24" w:space="0" w:color="auto"/>
              <w:righ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2021</w:t>
            </w:r>
          </w:p>
        </w:tc>
        <w:tc>
          <w:tcPr>
            <w:tcW w:w="1355" w:type="dxa"/>
            <w:tcBorders>
              <w:lef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2021</w:t>
            </w:r>
          </w:p>
        </w:tc>
        <w:tc>
          <w:tcPr>
            <w:tcW w:w="1579" w:type="dxa"/>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2021</w:t>
            </w:r>
          </w:p>
        </w:tc>
        <w:tc>
          <w:tcPr>
            <w:tcW w:w="1047" w:type="dxa"/>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2020</w:t>
            </w:r>
          </w:p>
        </w:tc>
      </w:tr>
      <w:tr w:rsidR="001C6F22" w:rsidRPr="001C6F22" w:rsidTr="00CD40BC">
        <w:trPr>
          <w:trHeight w:val="214"/>
        </w:trPr>
        <w:tc>
          <w:tcPr>
            <w:tcW w:w="2026" w:type="dxa"/>
          </w:tcPr>
          <w:p w:rsidR="0023386D" w:rsidRPr="001C6F22" w:rsidRDefault="001C6F22" w:rsidP="001C6F22">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747" w:type="dxa"/>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3.9 m</w:t>
            </w:r>
          </w:p>
        </w:tc>
        <w:tc>
          <w:tcPr>
            <w:tcW w:w="912" w:type="dxa"/>
            <w:tcBorders>
              <w:right w:val="thinThickSmallGap" w:sz="24" w:space="0" w:color="auto"/>
            </w:tcBorders>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3.7 m</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5.2 m</w:t>
            </w:r>
          </w:p>
        </w:tc>
        <w:tc>
          <w:tcPr>
            <w:tcW w:w="990" w:type="dxa"/>
            <w:tcBorders>
              <w:left w:val="thinThickSmallGap" w:sz="24" w:space="0" w:color="auto"/>
              <w:righ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1.1 m</w:t>
            </w:r>
          </w:p>
        </w:tc>
        <w:tc>
          <w:tcPr>
            <w:tcW w:w="990" w:type="dxa"/>
            <w:tcBorders>
              <w:left w:val="thinThickSmallGap" w:sz="24" w:space="0" w:color="auto"/>
              <w:righ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1.9 m</w:t>
            </w:r>
          </w:p>
        </w:tc>
        <w:tc>
          <w:tcPr>
            <w:tcW w:w="1355" w:type="dxa"/>
            <w:tcBorders>
              <w:lef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18 m</w:t>
            </w:r>
          </w:p>
        </w:tc>
        <w:tc>
          <w:tcPr>
            <w:tcW w:w="1579" w:type="dxa"/>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18 m</w:t>
            </w:r>
          </w:p>
        </w:tc>
        <w:tc>
          <w:tcPr>
            <w:tcW w:w="1047" w:type="dxa"/>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15.5 m</w:t>
            </w:r>
          </w:p>
        </w:tc>
      </w:tr>
      <w:tr w:rsidR="001C6F22" w:rsidRPr="001C6F22" w:rsidTr="00CD40BC">
        <w:trPr>
          <w:trHeight w:val="200"/>
        </w:trPr>
        <w:tc>
          <w:tcPr>
            <w:tcW w:w="2026" w:type="dxa"/>
          </w:tcPr>
          <w:p w:rsidR="0023386D" w:rsidRPr="001C6F22" w:rsidRDefault="0023386D" w:rsidP="001C6F22">
            <w:pPr>
              <w:spacing w:after="0" w:line="240" w:lineRule="auto"/>
              <w:rPr>
                <w:rFonts w:ascii="Arial" w:hAnsi="Arial" w:cs="Arial"/>
                <w:noProof/>
                <w:sz w:val="18"/>
                <w:szCs w:val="18"/>
                <w:lang w:val="af-ZA"/>
              </w:rPr>
            </w:pPr>
            <w:r w:rsidRPr="001C6F22">
              <w:rPr>
                <w:rFonts w:ascii="Arial" w:hAnsi="Arial" w:cs="Arial"/>
                <w:noProof/>
                <w:sz w:val="18"/>
                <w:szCs w:val="18"/>
                <w:lang w:val="af-ZA"/>
              </w:rPr>
              <w:t>S</w:t>
            </w:r>
            <w:r w:rsidR="001C6F22">
              <w:rPr>
                <w:rFonts w:ascii="Arial" w:hAnsi="Arial" w:cs="Arial"/>
                <w:noProof/>
                <w:sz w:val="18"/>
                <w:szCs w:val="18"/>
                <w:lang w:val="af-ZA"/>
              </w:rPr>
              <w:t>agte Sitrus</w:t>
            </w:r>
          </w:p>
        </w:tc>
        <w:tc>
          <w:tcPr>
            <w:tcW w:w="747" w:type="dxa"/>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1.5 m</w:t>
            </w:r>
          </w:p>
        </w:tc>
        <w:tc>
          <w:tcPr>
            <w:tcW w:w="912" w:type="dxa"/>
            <w:tcBorders>
              <w:right w:val="thinThickSmallGap" w:sz="24" w:space="0" w:color="auto"/>
            </w:tcBorders>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2.3 m</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3 m</w:t>
            </w:r>
          </w:p>
        </w:tc>
        <w:tc>
          <w:tcPr>
            <w:tcW w:w="990" w:type="dxa"/>
            <w:tcBorders>
              <w:left w:val="thinThickSmallGap" w:sz="24" w:space="0" w:color="auto"/>
              <w:righ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1.6 m</w:t>
            </w:r>
          </w:p>
        </w:tc>
        <w:tc>
          <w:tcPr>
            <w:tcW w:w="990" w:type="dxa"/>
            <w:tcBorders>
              <w:left w:val="thinThickSmallGap" w:sz="24" w:space="0" w:color="auto"/>
              <w:righ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1.3 m</w:t>
            </w:r>
          </w:p>
        </w:tc>
        <w:tc>
          <w:tcPr>
            <w:tcW w:w="1355" w:type="dxa"/>
            <w:tcBorders>
              <w:lef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30.5 m</w:t>
            </w:r>
          </w:p>
        </w:tc>
        <w:tc>
          <w:tcPr>
            <w:tcW w:w="1579" w:type="dxa"/>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29.4 m</w:t>
            </w:r>
          </w:p>
        </w:tc>
        <w:tc>
          <w:tcPr>
            <w:tcW w:w="1047" w:type="dxa"/>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23.6 m</w:t>
            </w:r>
          </w:p>
        </w:tc>
      </w:tr>
      <w:tr w:rsidR="001C6F22" w:rsidRPr="001C6F22" w:rsidTr="00CD40BC">
        <w:trPr>
          <w:trHeight w:val="180"/>
        </w:trPr>
        <w:tc>
          <w:tcPr>
            <w:tcW w:w="2026" w:type="dxa"/>
          </w:tcPr>
          <w:p w:rsidR="0023386D" w:rsidRPr="001C6F22" w:rsidRDefault="001C6F22" w:rsidP="001C6F22">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747" w:type="dxa"/>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3.4 m</w:t>
            </w:r>
          </w:p>
        </w:tc>
        <w:tc>
          <w:tcPr>
            <w:tcW w:w="912" w:type="dxa"/>
            <w:tcBorders>
              <w:right w:val="thinThickSmallGap" w:sz="24" w:space="0" w:color="auto"/>
            </w:tcBorders>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8.8 m</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8.6 m</w:t>
            </w:r>
          </w:p>
        </w:tc>
        <w:tc>
          <w:tcPr>
            <w:tcW w:w="990" w:type="dxa"/>
            <w:tcBorders>
              <w:left w:val="thinThickSmallGap" w:sz="24" w:space="0" w:color="auto"/>
              <w:righ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5.6 m</w:t>
            </w:r>
          </w:p>
        </w:tc>
        <w:tc>
          <w:tcPr>
            <w:tcW w:w="990" w:type="dxa"/>
            <w:tcBorders>
              <w:left w:val="thinThickSmallGap" w:sz="24" w:space="0" w:color="auto"/>
              <w:righ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6 m</w:t>
            </w:r>
          </w:p>
        </w:tc>
        <w:tc>
          <w:tcPr>
            <w:tcW w:w="1355" w:type="dxa"/>
            <w:tcBorders>
              <w:lef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30.2 m</w:t>
            </w:r>
          </w:p>
        </w:tc>
        <w:tc>
          <w:tcPr>
            <w:tcW w:w="1579" w:type="dxa"/>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30.2 m</w:t>
            </w:r>
          </w:p>
        </w:tc>
        <w:tc>
          <w:tcPr>
            <w:tcW w:w="1047" w:type="dxa"/>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29.6 m</w:t>
            </w:r>
          </w:p>
        </w:tc>
      </w:tr>
      <w:tr w:rsidR="001C6F22" w:rsidRPr="001C6F22" w:rsidTr="00CD40BC">
        <w:trPr>
          <w:trHeight w:val="200"/>
        </w:trPr>
        <w:tc>
          <w:tcPr>
            <w:tcW w:w="2026" w:type="dxa"/>
          </w:tcPr>
          <w:p w:rsidR="0023386D" w:rsidRPr="001C6F22" w:rsidRDefault="001C6F22" w:rsidP="00C42806">
            <w:pPr>
              <w:spacing w:after="0" w:line="240" w:lineRule="auto"/>
              <w:rPr>
                <w:rFonts w:ascii="Arial" w:hAnsi="Arial" w:cs="Arial"/>
                <w:noProof/>
                <w:sz w:val="18"/>
                <w:szCs w:val="18"/>
                <w:lang w:val="af-ZA"/>
              </w:rPr>
            </w:pPr>
            <w:r>
              <w:rPr>
                <w:rFonts w:ascii="Arial" w:hAnsi="Arial" w:cs="Arial"/>
                <w:noProof/>
                <w:sz w:val="18"/>
                <w:szCs w:val="18"/>
                <w:lang w:val="af-ZA"/>
              </w:rPr>
              <w:t>Naw</w:t>
            </w:r>
            <w:r w:rsidR="0023386D" w:rsidRPr="001C6F22">
              <w:rPr>
                <w:rFonts w:ascii="Arial" w:hAnsi="Arial" w:cs="Arial"/>
                <w:noProof/>
                <w:sz w:val="18"/>
                <w:szCs w:val="18"/>
                <w:lang w:val="af-ZA"/>
              </w:rPr>
              <w:t>els</w:t>
            </w:r>
          </w:p>
        </w:tc>
        <w:tc>
          <w:tcPr>
            <w:tcW w:w="747" w:type="dxa"/>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0.3 m</w:t>
            </w:r>
          </w:p>
        </w:tc>
        <w:tc>
          <w:tcPr>
            <w:tcW w:w="912" w:type="dxa"/>
            <w:tcBorders>
              <w:right w:val="thinThickSmallGap" w:sz="24" w:space="0" w:color="auto"/>
            </w:tcBorders>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0.4 m</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0.5 m</w:t>
            </w:r>
          </w:p>
        </w:tc>
        <w:tc>
          <w:tcPr>
            <w:tcW w:w="990" w:type="dxa"/>
            <w:tcBorders>
              <w:left w:val="thinThickSmallGap" w:sz="24" w:space="0" w:color="auto"/>
              <w:righ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w:t>
            </w:r>
          </w:p>
        </w:tc>
        <w:tc>
          <w:tcPr>
            <w:tcW w:w="990" w:type="dxa"/>
            <w:tcBorders>
              <w:left w:val="thinThickSmallGap" w:sz="24" w:space="0" w:color="auto"/>
              <w:righ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0.1 m</w:t>
            </w:r>
          </w:p>
        </w:tc>
        <w:tc>
          <w:tcPr>
            <w:tcW w:w="1355" w:type="dxa"/>
            <w:tcBorders>
              <w:lef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26.3 m</w:t>
            </w:r>
          </w:p>
        </w:tc>
        <w:tc>
          <w:tcPr>
            <w:tcW w:w="1579" w:type="dxa"/>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26.3 m</w:t>
            </w:r>
          </w:p>
        </w:tc>
        <w:tc>
          <w:tcPr>
            <w:tcW w:w="1047" w:type="dxa"/>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26.2 m</w:t>
            </w:r>
          </w:p>
        </w:tc>
      </w:tr>
      <w:tr w:rsidR="001C6F22" w:rsidRPr="001C6F22" w:rsidTr="00CD40BC">
        <w:trPr>
          <w:trHeight w:val="245"/>
        </w:trPr>
        <w:tc>
          <w:tcPr>
            <w:tcW w:w="2026" w:type="dxa"/>
          </w:tcPr>
          <w:p w:rsidR="0023386D" w:rsidRPr="001C6F22" w:rsidRDefault="0023386D" w:rsidP="00C42806">
            <w:pPr>
              <w:spacing w:after="0" w:line="240" w:lineRule="auto"/>
              <w:rPr>
                <w:rFonts w:ascii="Arial" w:hAnsi="Arial" w:cs="Arial"/>
                <w:noProof/>
                <w:sz w:val="18"/>
                <w:szCs w:val="18"/>
                <w:lang w:val="af-ZA"/>
              </w:rPr>
            </w:pPr>
            <w:r w:rsidRPr="001C6F22">
              <w:rPr>
                <w:rFonts w:ascii="Arial" w:hAnsi="Arial" w:cs="Arial"/>
                <w:noProof/>
                <w:sz w:val="18"/>
                <w:szCs w:val="18"/>
                <w:lang w:val="af-ZA"/>
              </w:rPr>
              <w:t>Valencia</w:t>
            </w:r>
            <w:r w:rsidR="001C6F22">
              <w:rPr>
                <w:rFonts w:ascii="Arial" w:hAnsi="Arial" w:cs="Arial"/>
                <w:noProof/>
                <w:sz w:val="18"/>
                <w:szCs w:val="18"/>
                <w:lang w:val="af-ZA"/>
              </w:rPr>
              <w:t>s</w:t>
            </w:r>
          </w:p>
        </w:tc>
        <w:tc>
          <w:tcPr>
            <w:tcW w:w="747" w:type="dxa"/>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0.2 m</w:t>
            </w:r>
          </w:p>
        </w:tc>
        <w:tc>
          <w:tcPr>
            <w:tcW w:w="912" w:type="dxa"/>
            <w:tcBorders>
              <w:right w:val="thinThickSmallGap" w:sz="24" w:space="0" w:color="auto"/>
            </w:tcBorders>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23386D" w:rsidRPr="001C6F22" w:rsidRDefault="0023386D" w:rsidP="00C42806">
            <w:pPr>
              <w:spacing w:after="0" w:line="240" w:lineRule="auto"/>
              <w:jc w:val="right"/>
              <w:rPr>
                <w:rFonts w:ascii="Arial" w:hAnsi="Arial" w:cs="Arial"/>
                <w:noProof/>
                <w:sz w:val="18"/>
                <w:szCs w:val="18"/>
                <w:lang w:val="af-ZA"/>
              </w:rPr>
            </w:pPr>
            <w:r w:rsidRPr="001C6F22">
              <w:rPr>
                <w:rFonts w:ascii="Arial" w:hAnsi="Arial" w:cs="Arial"/>
                <w:noProof/>
                <w:sz w:val="18"/>
                <w:szCs w:val="18"/>
                <w:lang w:val="af-ZA"/>
              </w:rPr>
              <w:t>-</w:t>
            </w:r>
          </w:p>
        </w:tc>
        <w:tc>
          <w:tcPr>
            <w:tcW w:w="990" w:type="dxa"/>
            <w:tcBorders>
              <w:left w:val="thinThickSmallGap" w:sz="24" w:space="0" w:color="auto"/>
              <w:righ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w:t>
            </w:r>
          </w:p>
        </w:tc>
        <w:tc>
          <w:tcPr>
            <w:tcW w:w="990" w:type="dxa"/>
            <w:tcBorders>
              <w:left w:val="thinThickSmallGap" w:sz="24" w:space="0" w:color="auto"/>
              <w:righ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w:t>
            </w:r>
          </w:p>
        </w:tc>
        <w:tc>
          <w:tcPr>
            <w:tcW w:w="1355" w:type="dxa"/>
            <w:tcBorders>
              <w:left w:val="thinThickSmallGap" w:sz="24" w:space="0" w:color="auto"/>
            </w:tcBorders>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58 m</w:t>
            </w:r>
          </w:p>
        </w:tc>
        <w:tc>
          <w:tcPr>
            <w:tcW w:w="1579" w:type="dxa"/>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58 m</w:t>
            </w:r>
          </w:p>
        </w:tc>
        <w:tc>
          <w:tcPr>
            <w:tcW w:w="1047" w:type="dxa"/>
            <w:shd w:val="clear" w:color="auto" w:fill="E6E6E6"/>
          </w:tcPr>
          <w:p w:rsidR="0023386D" w:rsidRPr="001C6F22" w:rsidRDefault="0023386D" w:rsidP="00C42806">
            <w:pPr>
              <w:spacing w:after="0" w:line="240" w:lineRule="auto"/>
              <w:jc w:val="center"/>
              <w:rPr>
                <w:rFonts w:ascii="Arial" w:hAnsi="Arial" w:cs="Arial"/>
                <w:noProof/>
                <w:sz w:val="18"/>
                <w:szCs w:val="18"/>
                <w:lang w:val="af-ZA"/>
              </w:rPr>
            </w:pPr>
            <w:r w:rsidRPr="001C6F22">
              <w:rPr>
                <w:rFonts w:ascii="Arial" w:hAnsi="Arial" w:cs="Arial"/>
                <w:noProof/>
                <w:sz w:val="18"/>
                <w:szCs w:val="18"/>
                <w:lang w:val="af-ZA"/>
              </w:rPr>
              <w:t>55.1 m</w:t>
            </w:r>
          </w:p>
        </w:tc>
      </w:tr>
      <w:tr w:rsidR="001C6F22" w:rsidRPr="001C6F22" w:rsidTr="00CD40BC">
        <w:trPr>
          <w:trHeight w:val="214"/>
        </w:trPr>
        <w:tc>
          <w:tcPr>
            <w:tcW w:w="2026" w:type="dxa"/>
            <w:shd w:val="clear" w:color="auto" w:fill="BFBFBF" w:themeFill="background1" w:themeFillShade="BF"/>
          </w:tcPr>
          <w:p w:rsidR="0023386D" w:rsidRPr="001C6F22" w:rsidRDefault="0023386D" w:rsidP="00C42806">
            <w:pPr>
              <w:spacing w:after="0" w:line="240" w:lineRule="auto"/>
              <w:rPr>
                <w:rFonts w:ascii="Arial" w:hAnsi="Arial" w:cs="Arial"/>
                <w:b/>
                <w:noProof/>
                <w:sz w:val="18"/>
                <w:szCs w:val="18"/>
                <w:lang w:val="af-ZA"/>
              </w:rPr>
            </w:pPr>
            <w:r w:rsidRPr="001C6F22">
              <w:rPr>
                <w:rFonts w:ascii="Arial" w:hAnsi="Arial" w:cs="Arial"/>
                <w:b/>
                <w:noProof/>
                <w:sz w:val="18"/>
                <w:szCs w:val="18"/>
                <w:lang w:val="af-ZA"/>
              </w:rPr>
              <w:t>Tot</w:t>
            </w:r>
            <w:r w:rsidR="001C6F22">
              <w:rPr>
                <w:rFonts w:ascii="Arial" w:hAnsi="Arial" w:cs="Arial"/>
                <w:b/>
                <w:noProof/>
                <w:sz w:val="18"/>
                <w:szCs w:val="18"/>
                <w:lang w:val="af-ZA"/>
              </w:rPr>
              <w:t>a</w:t>
            </w:r>
            <w:r w:rsidRPr="001C6F22">
              <w:rPr>
                <w:rFonts w:ascii="Arial" w:hAnsi="Arial" w:cs="Arial"/>
                <w:b/>
                <w:noProof/>
                <w:sz w:val="18"/>
                <w:szCs w:val="18"/>
                <w:lang w:val="af-ZA"/>
              </w:rPr>
              <w:t>al</w:t>
            </w:r>
          </w:p>
        </w:tc>
        <w:tc>
          <w:tcPr>
            <w:tcW w:w="747" w:type="dxa"/>
            <w:shd w:val="clear" w:color="auto" w:fill="BFBFBF" w:themeFill="background1" w:themeFillShade="BF"/>
          </w:tcPr>
          <w:p w:rsidR="0023386D" w:rsidRPr="001C6F22" w:rsidRDefault="0023386D" w:rsidP="00C42806">
            <w:pPr>
              <w:spacing w:after="0" w:line="240" w:lineRule="auto"/>
              <w:jc w:val="right"/>
              <w:rPr>
                <w:rFonts w:ascii="Arial" w:hAnsi="Arial" w:cs="Arial"/>
                <w:b/>
                <w:noProof/>
                <w:sz w:val="18"/>
                <w:szCs w:val="18"/>
                <w:lang w:val="af-ZA"/>
              </w:rPr>
            </w:pPr>
            <w:r w:rsidRPr="001C6F22">
              <w:rPr>
                <w:rFonts w:ascii="Arial" w:hAnsi="Arial" w:cs="Arial"/>
                <w:b/>
                <w:noProof/>
                <w:sz w:val="18"/>
                <w:szCs w:val="18"/>
                <w:lang w:val="af-ZA"/>
              </w:rPr>
              <w:t>9.3 m</w:t>
            </w:r>
          </w:p>
        </w:tc>
        <w:tc>
          <w:tcPr>
            <w:tcW w:w="912" w:type="dxa"/>
            <w:tcBorders>
              <w:right w:val="thinThickSmallGap" w:sz="24" w:space="0" w:color="auto"/>
            </w:tcBorders>
            <w:shd w:val="clear" w:color="auto" w:fill="BFBFBF" w:themeFill="background1" w:themeFillShade="BF"/>
          </w:tcPr>
          <w:p w:rsidR="0023386D" w:rsidRPr="001C6F22" w:rsidRDefault="0023386D" w:rsidP="00C42806">
            <w:pPr>
              <w:spacing w:after="0" w:line="240" w:lineRule="auto"/>
              <w:jc w:val="right"/>
              <w:rPr>
                <w:rFonts w:ascii="Arial" w:hAnsi="Arial" w:cs="Arial"/>
                <w:b/>
                <w:noProof/>
                <w:sz w:val="18"/>
                <w:szCs w:val="18"/>
                <w:lang w:val="af-ZA"/>
              </w:rPr>
            </w:pPr>
            <w:r w:rsidRPr="001C6F22">
              <w:rPr>
                <w:rFonts w:ascii="Arial" w:hAnsi="Arial" w:cs="Arial"/>
                <w:b/>
                <w:noProof/>
                <w:sz w:val="18"/>
                <w:szCs w:val="18"/>
                <w:lang w:val="af-ZA"/>
              </w:rPr>
              <w:t>15.2 m</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BFBFBF" w:themeFill="background1" w:themeFillShade="BF"/>
          </w:tcPr>
          <w:p w:rsidR="0023386D" w:rsidRPr="001C6F22" w:rsidRDefault="0023386D" w:rsidP="00C42806">
            <w:pPr>
              <w:spacing w:after="0" w:line="240" w:lineRule="auto"/>
              <w:jc w:val="right"/>
              <w:rPr>
                <w:rFonts w:ascii="Arial" w:hAnsi="Arial" w:cs="Arial"/>
                <w:b/>
                <w:noProof/>
                <w:sz w:val="18"/>
                <w:szCs w:val="18"/>
                <w:lang w:val="af-ZA"/>
              </w:rPr>
            </w:pPr>
            <w:r w:rsidRPr="001C6F22">
              <w:rPr>
                <w:rFonts w:ascii="Arial" w:hAnsi="Arial" w:cs="Arial"/>
                <w:b/>
                <w:noProof/>
                <w:sz w:val="18"/>
                <w:szCs w:val="18"/>
                <w:lang w:val="af-ZA"/>
              </w:rPr>
              <w:t>17.3 m</w:t>
            </w:r>
          </w:p>
        </w:tc>
        <w:tc>
          <w:tcPr>
            <w:tcW w:w="990" w:type="dxa"/>
            <w:tcBorders>
              <w:left w:val="thinThickSmallGap" w:sz="24" w:space="0" w:color="auto"/>
              <w:right w:val="thinThickSmallGap" w:sz="24" w:space="0" w:color="auto"/>
            </w:tcBorders>
            <w:shd w:val="clear" w:color="auto" w:fill="BFBFBF" w:themeFill="background1" w:themeFillShade="BF"/>
          </w:tcPr>
          <w:p w:rsidR="0023386D" w:rsidRPr="001C6F22" w:rsidRDefault="0023386D" w:rsidP="00C42806">
            <w:pPr>
              <w:spacing w:after="0" w:line="240" w:lineRule="auto"/>
              <w:jc w:val="center"/>
              <w:rPr>
                <w:rFonts w:ascii="Arial" w:hAnsi="Arial" w:cs="Arial"/>
                <w:b/>
                <w:noProof/>
                <w:sz w:val="18"/>
                <w:szCs w:val="18"/>
                <w:lang w:val="af-ZA"/>
              </w:rPr>
            </w:pPr>
            <w:r w:rsidRPr="001C6F22">
              <w:rPr>
                <w:rFonts w:ascii="Arial" w:hAnsi="Arial" w:cs="Arial"/>
                <w:b/>
                <w:noProof/>
                <w:sz w:val="18"/>
                <w:szCs w:val="18"/>
                <w:lang w:val="af-ZA"/>
              </w:rPr>
              <w:t>8.3 m</w:t>
            </w:r>
          </w:p>
        </w:tc>
        <w:tc>
          <w:tcPr>
            <w:tcW w:w="990" w:type="dxa"/>
            <w:tcBorders>
              <w:left w:val="thinThickSmallGap" w:sz="24" w:space="0" w:color="auto"/>
              <w:right w:val="thinThickSmallGap" w:sz="24" w:space="0" w:color="auto"/>
            </w:tcBorders>
            <w:shd w:val="clear" w:color="auto" w:fill="BFBFBF" w:themeFill="background1" w:themeFillShade="BF"/>
          </w:tcPr>
          <w:p w:rsidR="0023386D" w:rsidRPr="001C6F22" w:rsidRDefault="0023386D" w:rsidP="00C42806">
            <w:pPr>
              <w:spacing w:after="0" w:line="240" w:lineRule="auto"/>
              <w:jc w:val="center"/>
              <w:rPr>
                <w:rFonts w:ascii="Arial" w:hAnsi="Arial" w:cs="Arial"/>
                <w:b/>
                <w:noProof/>
                <w:sz w:val="18"/>
                <w:szCs w:val="18"/>
                <w:lang w:val="af-ZA"/>
              </w:rPr>
            </w:pPr>
            <w:r w:rsidRPr="001C6F22">
              <w:rPr>
                <w:rFonts w:ascii="Arial" w:hAnsi="Arial" w:cs="Arial"/>
                <w:b/>
                <w:noProof/>
                <w:sz w:val="18"/>
                <w:szCs w:val="18"/>
                <w:lang w:val="af-ZA"/>
              </w:rPr>
              <w:t>9.3 m</w:t>
            </w:r>
          </w:p>
        </w:tc>
        <w:tc>
          <w:tcPr>
            <w:tcW w:w="1355" w:type="dxa"/>
            <w:tcBorders>
              <w:left w:val="thinThickSmallGap" w:sz="24" w:space="0" w:color="auto"/>
            </w:tcBorders>
            <w:shd w:val="clear" w:color="auto" w:fill="BFBFBF" w:themeFill="background1" w:themeFillShade="BF"/>
          </w:tcPr>
          <w:p w:rsidR="0023386D" w:rsidRPr="001C6F22" w:rsidRDefault="0023386D" w:rsidP="00C42806">
            <w:pPr>
              <w:spacing w:after="0" w:line="240" w:lineRule="auto"/>
              <w:jc w:val="center"/>
              <w:rPr>
                <w:rFonts w:ascii="Arial" w:hAnsi="Arial" w:cs="Arial"/>
                <w:b/>
                <w:noProof/>
                <w:sz w:val="18"/>
                <w:szCs w:val="18"/>
                <w:lang w:val="af-ZA"/>
              </w:rPr>
            </w:pPr>
            <w:r w:rsidRPr="001C6F22">
              <w:rPr>
                <w:rFonts w:ascii="Arial" w:hAnsi="Arial" w:cs="Arial"/>
                <w:b/>
                <w:noProof/>
                <w:sz w:val="18"/>
                <w:szCs w:val="18"/>
                <w:lang w:val="af-ZA"/>
              </w:rPr>
              <w:t>163 m</w:t>
            </w:r>
          </w:p>
        </w:tc>
        <w:tc>
          <w:tcPr>
            <w:tcW w:w="1579" w:type="dxa"/>
            <w:shd w:val="clear" w:color="auto" w:fill="BFBFBF" w:themeFill="background1" w:themeFillShade="BF"/>
          </w:tcPr>
          <w:p w:rsidR="0023386D" w:rsidRPr="001C6F22" w:rsidRDefault="0023386D" w:rsidP="00C42806">
            <w:pPr>
              <w:spacing w:after="0" w:line="240" w:lineRule="auto"/>
              <w:jc w:val="center"/>
              <w:rPr>
                <w:rFonts w:ascii="Arial" w:hAnsi="Arial" w:cs="Arial"/>
                <w:b/>
                <w:noProof/>
                <w:sz w:val="18"/>
                <w:szCs w:val="18"/>
                <w:lang w:val="af-ZA"/>
              </w:rPr>
            </w:pPr>
            <w:r w:rsidRPr="001C6F22">
              <w:rPr>
                <w:rFonts w:ascii="Arial" w:hAnsi="Arial" w:cs="Arial"/>
                <w:b/>
                <w:noProof/>
                <w:sz w:val="18"/>
                <w:szCs w:val="18"/>
                <w:lang w:val="af-ZA"/>
              </w:rPr>
              <w:t>161.9 m</w:t>
            </w:r>
          </w:p>
        </w:tc>
        <w:tc>
          <w:tcPr>
            <w:tcW w:w="1047" w:type="dxa"/>
            <w:shd w:val="clear" w:color="auto" w:fill="BFBFBF" w:themeFill="background1" w:themeFillShade="BF"/>
          </w:tcPr>
          <w:p w:rsidR="0023386D" w:rsidRPr="001C6F22" w:rsidRDefault="0023386D" w:rsidP="00C42806">
            <w:pPr>
              <w:spacing w:after="0" w:line="240" w:lineRule="auto"/>
              <w:jc w:val="center"/>
              <w:rPr>
                <w:rFonts w:ascii="Arial" w:hAnsi="Arial" w:cs="Arial"/>
                <w:b/>
                <w:noProof/>
                <w:sz w:val="18"/>
                <w:szCs w:val="18"/>
                <w:lang w:val="af-ZA"/>
              </w:rPr>
            </w:pPr>
            <w:r w:rsidRPr="001C6F22">
              <w:rPr>
                <w:rFonts w:ascii="Arial" w:hAnsi="Arial" w:cs="Arial"/>
                <w:b/>
                <w:noProof/>
                <w:sz w:val="18"/>
                <w:szCs w:val="18"/>
                <w:lang w:val="af-ZA"/>
              </w:rPr>
              <w:t>150 m</w:t>
            </w:r>
          </w:p>
        </w:tc>
      </w:tr>
    </w:tbl>
    <w:p w:rsidR="008A5702" w:rsidRDefault="008A5702" w:rsidP="008A5702"/>
    <w:p w:rsidR="00FF218A" w:rsidRPr="009B1F88" w:rsidRDefault="00FF218A" w:rsidP="00DD3A75">
      <w:pPr>
        <w:spacing w:after="0"/>
        <w:rPr>
          <w:rFonts w:asciiTheme="minorHAnsi" w:eastAsia="Times New Roman" w:hAnsiTheme="minorHAnsi" w:cstheme="minorHAnsi"/>
          <w:sz w:val="24"/>
          <w:szCs w:val="24"/>
          <w:lang w:val="en-US"/>
        </w:rPr>
      </w:pPr>
    </w:p>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8"/>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81" w:rsidRDefault="009C7781" w:rsidP="00595E08">
      <w:pPr>
        <w:spacing w:after="0" w:line="240" w:lineRule="auto"/>
      </w:pPr>
      <w:r>
        <w:separator/>
      </w:r>
    </w:p>
  </w:endnote>
  <w:endnote w:type="continuationSeparator" w:id="0">
    <w:p w:rsidR="009C7781" w:rsidRDefault="009C7781"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81" w:rsidRDefault="009C7781" w:rsidP="00595E08">
      <w:pPr>
        <w:spacing w:after="0" w:line="240" w:lineRule="auto"/>
      </w:pPr>
      <w:r>
        <w:separator/>
      </w:r>
    </w:p>
  </w:footnote>
  <w:footnote w:type="continuationSeparator" w:id="0">
    <w:p w:rsidR="009C7781" w:rsidRDefault="009C7781"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55F10"/>
    <w:rsid w:val="00056DC1"/>
    <w:rsid w:val="00070D40"/>
    <w:rsid w:val="00080B99"/>
    <w:rsid w:val="0008376F"/>
    <w:rsid w:val="00084741"/>
    <w:rsid w:val="000879DF"/>
    <w:rsid w:val="000928E8"/>
    <w:rsid w:val="000A258A"/>
    <w:rsid w:val="000A2A31"/>
    <w:rsid w:val="000A2F5C"/>
    <w:rsid w:val="000A39E7"/>
    <w:rsid w:val="000C10C1"/>
    <w:rsid w:val="000C4865"/>
    <w:rsid w:val="000C4B73"/>
    <w:rsid w:val="000C4E72"/>
    <w:rsid w:val="000D2F64"/>
    <w:rsid w:val="000D629E"/>
    <w:rsid w:val="000D7425"/>
    <w:rsid w:val="000E172C"/>
    <w:rsid w:val="000E541C"/>
    <w:rsid w:val="000E7748"/>
    <w:rsid w:val="000F059E"/>
    <w:rsid w:val="000F28FF"/>
    <w:rsid w:val="000F5B14"/>
    <w:rsid w:val="000F7D05"/>
    <w:rsid w:val="0010672A"/>
    <w:rsid w:val="00110F70"/>
    <w:rsid w:val="001118A3"/>
    <w:rsid w:val="0012042A"/>
    <w:rsid w:val="001218D8"/>
    <w:rsid w:val="00122FC7"/>
    <w:rsid w:val="00124699"/>
    <w:rsid w:val="00136127"/>
    <w:rsid w:val="00142E5B"/>
    <w:rsid w:val="0015485D"/>
    <w:rsid w:val="001549C2"/>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679B"/>
    <w:rsid w:val="001C6F22"/>
    <w:rsid w:val="001C723E"/>
    <w:rsid w:val="001D36FE"/>
    <w:rsid w:val="001D5666"/>
    <w:rsid w:val="001D573C"/>
    <w:rsid w:val="001D69A2"/>
    <w:rsid w:val="001D7278"/>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735C"/>
    <w:rsid w:val="00244DA4"/>
    <w:rsid w:val="00250E1D"/>
    <w:rsid w:val="002512C0"/>
    <w:rsid w:val="00267052"/>
    <w:rsid w:val="0027201C"/>
    <w:rsid w:val="0027721A"/>
    <w:rsid w:val="00280379"/>
    <w:rsid w:val="00280B32"/>
    <w:rsid w:val="00280BC7"/>
    <w:rsid w:val="00297526"/>
    <w:rsid w:val="002A3E51"/>
    <w:rsid w:val="002A597D"/>
    <w:rsid w:val="002A5A13"/>
    <w:rsid w:val="002B3545"/>
    <w:rsid w:val="002B41CC"/>
    <w:rsid w:val="002C18E4"/>
    <w:rsid w:val="002C616B"/>
    <w:rsid w:val="002C65CD"/>
    <w:rsid w:val="002D122B"/>
    <w:rsid w:val="002D17EB"/>
    <w:rsid w:val="002D3448"/>
    <w:rsid w:val="002E1866"/>
    <w:rsid w:val="002F2B2B"/>
    <w:rsid w:val="002F2F8A"/>
    <w:rsid w:val="002F4D4D"/>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736BF"/>
    <w:rsid w:val="0038002B"/>
    <w:rsid w:val="003858A1"/>
    <w:rsid w:val="003959C7"/>
    <w:rsid w:val="00397378"/>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6152"/>
    <w:rsid w:val="00547C6C"/>
    <w:rsid w:val="005543EF"/>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4F57"/>
    <w:rsid w:val="005C5D33"/>
    <w:rsid w:val="005C6117"/>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2C81"/>
    <w:rsid w:val="0063644A"/>
    <w:rsid w:val="006412FF"/>
    <w:rsid w:val="00641661"/>
    <w:rsid w:val="00646201"/>
    <w:rsid w:val="0064682B"/>
    <w:rsid w:val="00652548"/>
    <w:rsid w:val="00663769"/>
    <w:rsid w:val="00670FBB"/>
    <w:rsid w:val="0067189B"/>
    <w:rsid w:val="006737A5"/>
    <w:rsid w:val="0067446D"/>
    <w:rsid w:val="006832EE"/>
    <w:rsid w:val="006852F9"/>
    <w:rsid w:val="0068783E"/>
    <w:rsid w:val="00690E5D"/>
    <w:rsid w:val="006921BA"/>
    <w:rsid w:val="0069320C"/>
    <w:rsid w:val="0069350E"/>
    <w:rsid w:val="00695012"/>
    <w:rsid w:val="006A0B6E"/>
    <w:rsid w:val="006A5DD3"/>
    <w:rsid w:val="006B22E7"/>
    <w:rsid w:val="006D3BE7"/>
    <w:rsid w:val="006D6CCB"/>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16C7"/>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07A2"/>
    <w:rsid w:val="0081352C"/>
    <w:rsid w:val="0081487A"/>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4C03"/>
    <w:rsid w:val="008B5FDB"/>
    <w:rsid w:val="008B7F6E"/>
    <w:rsid w:val="008C5508"/>
    <w:rsid w:val="008E3E09"/>
    <w:rsid w:val="008E40E0"/>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0A9"/>
    <w:rsid w:val="009A0E3D"/>
    <w:rsid w:val="009A1B72"/>
    <w:rsid w:val="009B1746"/>
    <w:rsid w:val="009B1F88"/>
    <w:rsid w:val="009C0212"/>
    <w:rsid w:val="009C7781"/>
    <w:rsid w:val="009D0040"/>
    <w:rsid w:val="009D33DC"/>
    <w:rsid w:val="009D709A"/>
    <w:rsid w:val="009D7FAF"/>
    <w:rsid w:val="009E4483"/>
    <w:rsid w:val="009F0F82"/>
    <w:rsid w:val="00A020D7"/>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73CE3"/>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D40BC"/>
    <w:rsid w:val="00CE0436"/>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A0CE9"/>
    <w:rsid w:val="00DB0052"/>
    <w:rsid w:val="00DB4748"/>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71DFE"/>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2B0F"/>
    <w:rsid w:val="00F64027"/>
    <w:rsid w:val="00F6437C"/>
    <w:rsid w:val="00F679DE"/>
    <w:rsid w:val="00F83F1A"/>
    <w:rsid w:val="00F867C4"/>
    <w:rsid w:val="00F9084A"/>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28AD"/>
    <w:rsid w:val="00FC36D2"/>
    <w:rsid w:val="00FC5148"/>
    <w:rsid w:val="00FC5BD0"/>
    <w:rsid w:val="00FD5F83"/>
    <w:rsid w:val="00FE48E7"/>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65425195">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246259004">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50243214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38307558">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2021-02-17T14:21:00Z</cp:lastPrinted>
  <dcterms:created xsi:type="dcterms:W3CDTF">2021-05-10T10:08:00Z</dcterms:created>
  <dcterms:modified xsi:type="dcterms:W3CDTF">2021-05-10T10:08:00Z</dcterms:modified>
</cp:coreProperties>
</file>