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BA0CB2" w:rsidRDefault="005859D8" w:rsidP="00BA0CB2">
      <w:pPr>
        <w:spacing w:after="0" w:line="240" w:lineRule="auto"/>
        <w:ind w:right="113"/>
        <w:rPr>
          <w:rFonts w:ascii="Comic Sans MS" w:hAnsi="Comic Sans MS"/>
          <w:b/>
          <w:i/>
          <w:sz w:val="40"/>
          <w:szCs w:val="40"/>
          <w:lang w:val="af-ZA"/>
        </w:rPr>
      </w:pPr>
      <w:bookmarkStart w:id="0" w:name="_GoBack"/>
      <w:bookmarkEnd w:id="0"/>
      <w:r w:rsidRPr="00BA0CB2">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CB2">
        <w:rPr>
          <w:rFonts w:ascii="Comic Sans MS" w:hAnsi="Comic Sans MS"/>
          <w:b/>
          <w:i/>
          <w:sz w:val="40"/>
          <w:szCs w:val="40"/>
          <w:lang w:val="af-ZA"/>
        </w:rPr>
        <w:t xml:space="preserve">UIT DIE PEN VAN DIE </w:t>
      </w:r>
      <w:r w:rsidRPr="00BA0CB2">
        <w:rPr>
          <w:rFonts w:ascii="Comic Sans MS" w:hAnsi="Comic Sans MS"/>
          <w:b/>
          <w:i/>
          <w:sz w:val="40"/>
          <w:szCs w:val="40"/>
          <w:lang w:val="af-ZA"/>
        </w:rPr>
        <w:t>CEO (</w:t>
      </w:r>
      <w:r w:rsidR="00731F8B" w:rsidRPr="00BA0CB2">
        <w:rPr>
          <w:rFonts w:ascii="Comic Sans MS" w:hAnsi="Comic Sans MS"/>
          <w:b/>
          <w:i/>
          <w:sz w:val="40"/>
          <w:szCs w:val="40"/>
          <w:lang w:val="af-ZA"/>
        </w:rPr>
        <w:t>49</w:t>
      </w:r>
      <w:r w:rsidR="005F4137" w:rsidRPr="00BA0CB2">
        <w:rPr>
          <w:rFonts w:ascii="Comic Sans MS" w:hAnsi="Comic Sans MS"/>
          <w:b/>
          <w:i/>
          <w:sz w:val="40"/>
          <w:szCs w:val="40"/>
          <w:lang w:val="af-ZA"/>
        </w:rPr>
        <w:t>/</w:t>
      </w:r>
      <w:r w:rsidRPr="00BA0CB2">
        <w:rPr>
          <w:rFonts w:ascii="Comic Sans MS" w:hAnsi="Comic Sans MS"/>
          <w:b/>
          <w:i/>
          <w:sz w:val="40"/>
          <w:szCs w:val="40"/>
          <w:lang w:val="af-ZA"/>
        </w:rPr>
        <w:t>19)</w:t>
      </w:r>
      <w:r w:rsidRPr="00BA0CB2">
        <w:rPr>
          <w:noProof/>
          <w:lang w:val="af-ZA" w:eastAsia="en-ZA"/>
        </w:rPr>
        <w:t xml:space="preserve"> </w:t>
      </w:r>
    </w:p>
    <w:p w:rsidR="005859D8" w:rsidRPr="00BA0CB2" w:rsidRDefault="005859D8" w:rsidP="00BA0CB2">
      <w:pPr>
        <w:spacing w:after="0" w:line="240" w:lineRule="auto"/>
        <w:ind w:right="113"/>
        <w:rPr>
          <w:rFonts w:ascii="Comic Sans MS" w:hAnsi="Comic Sans MS"/>
          <w:b/>
          <w:color w:val="00B050"/>
          <w:sz w:val="21"/>
          <w:szCs w:val="21"/>
          <w:lang w:val="af-ZA"/>
        </w:rPr>
      </w:pPr>
      <w:r w:rsidRPr="00BA0CB2">
        <w:rPr>
          <w:rFonts w:ascii="Comic Sans MS" w:hAnsi="Comic Sans MS"/>
          <w:b/>
          <w:color w:val="00B050"/>
          <w:sz w:val="21"/>
          <w:szCs w:val="21"/>
          <w:lang w:val="af-ZA"/>
        </w:rPr>
        <w:t>(</w:t>
      </w:r>
      <w:r w:rsidR="00BA0CB2">
        <w:rPr>
          <w:rFonts w:ascii="Comic Sans MS" w:hAnsi="Comic Sans MS"/>
          <w:b/>
          <w:color w:val="00B050"/>
          <w:sz w:val="21"/>
          <w:szCs w:val="21"/>
          <w:lang w:val="af-ZA"/>
        </w:rPr>
        <w:t>Volg my op</w:t>
      </w:r>
      <w:r w:rsidRPr="00BA0CB2">
        <w:rPr>
          <w:rFonts w:ascii="Comic Sans MS" w:hAnsi="Comic Sans MS"/>
          <w:b/>
          <w:color w:val="00B050"/>
          <w:sz w:val="21"/>
          <w:szCs w:val="21"/>
          <w:lang w:val="af-ZA"/>
        </w:rPr>
        <w:t xml:space="preserve"> Twitter justchad_cga)</w:t>
      </w:r>
    </w:p>
    <w:p w:rsidR="00361403" w:rsidRPr="00BA0CB2" w:rsidRDefault="00CC000B" w:rsidP="00BA0CB2">
      <w:pPr>
        <w:rPr>
          <w:rFonts w:ascii="Comic Sans MS" w:hAnsi="Comic Sans MS"/>
          <w:i/>
          <w:sz w:val="21"/>
          <w:szCs w:val="21"/>
          <w:lang w:val="af-ZA"/>
        </w:rPr>
      </w:pPr>
      <w:r w:rsidRPr="00BA0CB2">
        <w:rPr>
          <w:rFonts w:ascii="Comic Sans MS" w:hAnsi="Comic Sans MS"/>
          <w:i/>
          <w:sz w:val="21"/>
          <w:szCs w:val="21"/>
          <w:lang w:val="af-ZA"/>
        </w:rPr>
        <w:t xml:space="preserve">Justin Chadwick </w:t>
      </w:r>
      <w:r w:rsidR="00731F8B" w:rsidRPr="00BA0CB2">
        <w:rPr>
          <w:rFonts w:ascii="Comic Sans MS" w:hAnsi="Comic Sans MS"/>
          <w:i/>
          <w:sz w:val="21"/>
          <w:szCs w:val="21"/>
          <w:lang w:val="af-ZA"/>
        </w:rPr>
        <w:t>6 De</w:t>
      </w:r>
      <w:r w:rsidR="00BA0CB2">
        <w:rPr>
          <w:rFonts w:ascii="Comic Sans MS" w:hAnsi="Comic Sans MS"/>
          <w:i/>
          <w:sz w:val="21"/>
          <w:szCs w:val="21"/>
          <w:lang w:val="af-ZA"/>
        </w:rPr>
        <w:t>s</w:t>
      </w:r>
      <w:r w:rsidR="00731F8B" w:rsidRPr="00BA0CB2">
        <w:rPr>
          <w:rFonts w:ascii="Comic Sans MS" w:hAnsi="Comic Sans MS"/>
          <w:i/>
          <w:sz w:val="21"/>
          <w:szCs w:val="21"/>
          <w:lang w:val="af-ZA"/>
        </w:rPr>
        <w:t>ember</w:t>
      </w:r>
      <w:r w:rsidR="00361403" w:rsidRPr="00BA0CB2">
        <w:rPr>
          <w:rFonts w:ascii="Comic Sans MS" w:hAnsi="Comic Sans MS"/>
          <w:i/>
          <w:sz w:val="21"/>
          <w:szCs w:val="21"/>
          <w:lang w:val="af-ZA"/>
        </w:rPr>
        <w:t xml:space="preserve"> 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A0CB2" w:rsidTr="00ED209B">
        <w:trPr>
          <w:trHeight w:val="555"/>
          <w:tblCellSpacing w:w="0" w:type="dxa"/>
        </w:trPr>
        <w:tc>
          <w:tcPr>
            <w:tcW w:w="10824" w:type="dxa"/>
            <w:vAlign w:val="center"/>
          </w:tcPr>
          <w:p w:rsidR="00836320" w:rsidRPr="00BA0CB2" w:rsidRDefault="00F440B1" w:rsidP="009206C6">
            <w:pPr>
              <w:ind w:right="-329"/>
              <w:rPr>
                <w:rFonts w:ascii="Arial" w:hAnsi="Arial" w:cs="Arial"/>
                <w:b/>
                <w:i/>
                <w:lang w:val="af-ZA"/>
              </w:rPr>
            </w:pPr>
            <w:r w:rsidRPr="00BA0CB2">
              <w:rPr>
                <w:rFonts w:ascii="Arial" w:hAnsi="Arial" w:cs="Arial"/>
                <w:b/>
                <w:i/>
                <w:lang w:val="af-ZA"/>
              </w:rPr>
              <w:t>“England and America are two countries separated by a common language” George Bernard Shaw</w:t>
            </w:r>
          </w:p>
        </w:tc>
      </w:tr>
    </w:tbl>
    <w:p w:rsidR="008B2DC9" w:rsidRPr="008B2DC9" w:rsidRDefault="008B2DC9" w:rsidP="008B2DC9">
      <w:pPr>
        <w:spacing w:after="0" w:line="240" w:lineRule="auto"/>
        <w:jc w:val="both"/>
        <w:rPr>
          <w:rFonts w:eastAsiaTheme="minorHAnsi"/>
          <w:b/>
          <w:bCs/>
          <w:color w:val="FF0000"/>
          <w:sz w:val="24"/>
          <w:szCs w:val="24"/>
          <w:u w:val="single"/>
        </w:rPr>
      </w:pPr>
      <w:r w:rsidRPr="008B2DC9">
        <w:rPr>
          <w:b/>
          <w:bCs/>
          <w:color w:val="FF0000"/>
          <w:sz w:val="24"/>
          <w:szCs w:val="24"/>
          <w:u w:val="single"/>
        </w:rPr>
        <w:t>DIE 2019 SUID-AFRIKAANSE SITRUS SEISOEN</w:t>
      </w:r>
    </w:p>
    <w:p w:rsidR="008B2DC9" w:rsidRPr="008B2DC9" w:rsidRDefault="008B2DC9" w:rsidP="004B7637">
      <w:pPr>
        <w:spacing w:after="0" w:line="240" w:lineRule="auto"/>
        <w:jc w:val="both"/>
        <w:rPr>
          <w:lang w:val="af-ZA"/>
        </w:rPr>
      </w:pPr>
      <w:r w:rsidRPr="008B2DC9">
        <w:rPr>
          <w:lang w:val="af-ZA"/>
        </w:rPr>
        <w:t xml:space="preserve">Die voordeel </w:t>
      </w:r>
      <w:r w:rsidR="004B7637">
        <w:rPr>
          <w:lang w:val="af-ZA"/>
        </w:rPr>
        <w:t xml:space="preserve">van ‘n </w:t>
      </w:r>
      <w:r w:rsidRPr="008B2DC9">
        <w:rPr>
          <w:lang w:val="af-ZA"/>
        </w:rPr>
        <w:t xml:space="preserve">bedryf wat sitrus oor 'n wye geografiese gebied </w:t>
      </w:r>
      <w:r w:rsidR="004B7637">
        <w:rPr>
          <w:lang w:val="af-ZA"/>
        </w:rPr>
        <w:t xml:space="preserve">kan </w:t>
      </w:r>
      <w:r w:rsidRPr="008B2DC9">
        <w:rPr>
          <w:lang w:val="af-ZA"/>
        </w:rPr>
        <w:t xml:space="preserve">produseer, is dat probleme in een streek deur gunstige toestande in 'n ander gekanselleer kan word. Die 2019 sagte sitrus seisoen is 'n goeie voorbeeld hiervan. In Maart 2019 het die Sagte Sitrus Fokusgroep 'n oes van 18 263 160 kartonne (ekwivalente van 15 kg) geskat. Hierdie skatting is deur die Varsvrugte Uitvoerdersforum en die Sitrus Bemarkingsforum onderskryf en as die amptelike sagte sitrus </w:t>
      </w:r>
      <w:r w:rsidR="004B7637">
        <w:rPr>
          <w:lang w:val="af-ZA"/>
        </w:rPr>
        <w:t xml:space="preserve">skatting </w:t>
      </w:r>
      <w:r w:rsidRPr="008B2DC9">
        <w:rPr>
          <w:lang w:val="af-ZA"/>
        </w:rPr>
        <w:t>vir 2019 aanvaar. Teen die einde van die seisoen was die werklike uitvoere 18 218 287 kartonne - die fokusgroep was slegs 0,2457% of 45 000 kartonne uit. Maar dit vertel nie die volle verhaal nie. Die vierde grootste produksiegebied, Sondagsrivier, het 30,9% meer as die aanvanklike skatting uitgevoer, terwyl die vyfde grootste, Senwes (wat die Marble Hall- en Groblersdal areas verteenwoordig) 42,6% minder as wat</w:t>
      </w:r>
      <w:r w:rsidR="004B7637">
        <w:rPr>
          <w:lang w:val="af-ZA"/>
        </w:rPr>
        <w:t xml:space="preserve"> </w:t>
      </w:r>
      <w:r w:rsidRPr="008B2DC9">
        <w:rPr>
          <w:lang w:val="af-ZA"/>
        </w:rPr>
        <w:t>geskat is, uitgevoer het. Die grootste sagte sitrus</w:t>
      </w:r>
      <w:r w:rsidR="004B7637">
        <w:rPr>
          <w:lang w:val="af-ZA"/>
        </w:rPr>
        <w:t xml:space="preserve"> </w:t>
      </w:r>
      <w:r w:rsidRPr="008B2DC9">
        <w:rPr>
          <w:lang w:val="af-ZA"/>
        </w:rPr>
        <w:t>streek (Boland) het 17% meer as die skatting vir uitvoer gepak, en die tweede grootste streek (Wes-Kaap) was op met 14%. Patensie het op 6% minder as wat geskat is, geëindig.</w:t>
      </w:r>
    </w:p>
    <w:p w:rsidR="008B2DC9" w:rsidRPr="008B2DC9" w:rsidRDefault="008B2DC9" w:rsidP="00B65D14">
      <w:pPr>
        <w:spacing w:after="0" w:line="240" w:lineRule="auto"/>
        <w:jc w:val="both"/>
        <w:rPr>
          <w:color w:val="000000" w:themeColor="text1"/>
          <w:lang w:val="af-ZA"/>
        </w:rPr>
      </w:pPr>
      <w:r w:rsidRPr="008B2DC9">
        <w:rPr>
          <w:color w:val="000000" w:themeColor="text1"/>
          <w:lang w:val="af-ZA"/>
        </w:rPr>
        <w:t>'n Soortgelyke scenario het met suurlemoene afgespeel. Die CMF-goedgekeurde amptelike suurlemoenskatting vir 2019 was 21 982 876 kartonne (15 kg); die finaal wat vir uitvoer gepak is, was 22 077 288 kartonne - 'n verskil van 95 000 kartonne, of 0,429%. Die grootste streek, Sondagsriviervallei (wat ongeveer 50% van suider- Afrika se totale suurlemoenvolumes verteenwoordig), was 'n prysenswaardige 2,1% hoër as die skatting, terwyl die tweede grootste streek (Senwes) 17,8% minder was as wat geskat is. Hierdie twee streke is verantwoordelik vir 63% van suider-Afrika se suurlemoenuitvoere. Al die ander suurlemoen</w:t>
      </w:r>
      <w:r w:rsidR="00B65D14">
        <w:rPr>
          <w:color w:val="000000" w:themeColor="text1"/>
          <w:lang w:val="af-ZA"/>
        </w:rPr>
        <w:t xml:space="preserve"> </w:t>
      </w:r>
      <w:r w:rsidRPr="008B2DC9">
        <w:rPr>
          <w:color w:val="000000" w:themeColor="text1"/>
          <w:lang w:val="af-ZA"/>
        </w:rPr>
        <w:t>uitvoergebiede het nie 10% van die totale suurlemoenuitvoere bereik nie - Boland 6,9%, Patensie 5,8% en Hoedspruit 5,7%.  Die bedryf stel 'n teiken waarvolgens 'n afwyking van 10% variasie van die skatting aanvaarbaar is, met ‘n 5% as voorkeur. In 'n moeilike seisoen vir skattings, het die nawel fokusgroep net onder die aanvaarbare vlak ingekom - op 9,56% onder die oorspronklike skatting. Die skatting van Maart 2019 was vir 26 856 000 kartonne, terwyl die finale telling 24 287 540 kartonne was. Sondagsrivier (onderskatting met 0,27%), Patensie (oorskatting met 0,52%) en Wes-Kaap (onderskatting met 2,13%) het veral goed gevaar. Senwes was 27,3% minder as die oorspronklike skatting.</w:t>
      </w:r>
    </w:p>
    <w:p w:rsidR="008B2DC9" w:rsidRPr="008B2DC9" w:rsidRDefault="008B2DC9" w:rsidP="00D91607">
      <w:pPr>
        <w:spacing w:after="0" w:line="240" w:lineRule="auto"/>
        <w:jc w:val="both"/>
        <w:rPr>
          <w:rFonts w:eastAsiaTheme="minorHAnsi"/>
          <w:lang w:val="af-ZA"/>
        </w:rPr>
      </w:pPr>
      <w:r w:rsidRPr="008B2DC9">
        <w:rPr>
          <w:lang w:val="af-ZA"/>
        </w:rPr>
        <w:t xml:space="preserve">Die pomelo-fokusgroep was effens hoër as die aanvaarbare vlak </w:t>
      </w:r>
      <w:r w:rsidR="00D91607">
        <w:rPr>
          <w:lang w:val="af-ZA"/>
        </w:rPr>
        <w:t>met 1</w:t>
      </w:r>
      <w:r w:rsidRPr="008B2DC9">
        <w:rPr>
          <w:lang w:val="af-ZA"/>
        </w:rPr>
        <w:t>0,55%</w:t>
      </w:r>
      <w:r w:rsidR="00D91607">
        <w:rPr>
          <w:lang w:val="af-ZA"/>
        </w:rPr>
        <w:t>,</w:t>
      </w:r>
      <w:r w:rsidRPr="008B2DC9">
        <w:rPr>
          <w:lang w:val="af-ZA"/>
        </w:rPr>
        <w:t xml:space="preserve"> laer as die oorspronklike 17 147 107 kartonne (let wel, alhoewel die skatting in 17Kg-kartonne gedoen word – is </w:t>
      </w:r>
      <w:r w:rsidR="00D91607">
        <w:rPr>
          <w:lang w:val="af-ZA"/>
        </w:rPr>
        <w:t xml:space="preserve">dit </w:t>
      </w:r>
      <w:r w:rsidRPr="008B2DC9">
        <w:rPr>
          <w:lang w:val="af-ZA"/>
        </w:rPr>
        <w:t>na 15 kg ekwivalente vir hierdie oefening omgeskakel). Die finale syfer van wat gepak is, was 15 337 965 kartonne. Al die streke het oorskat, met Onderberg wat 24,5% minder as wat geskat is, gepak het, Letsitele 14,1% minder gepak en Hoedspruit 11,8%.</w:t>
      </w:r>
    </w:p>
    <w:p w:rsidR="008B2DC9" w:rsidRPr="008B2DC9" w:rsidRDefault="008B2DC9" w:rsidP="008B2DC9">
      <w:pPr>
        <w:spacing w:after="0" w:line="240" w:lineRule="auto"/>
        <w:jc w:val="both"/>
        <w:rPr>
          <w:lang w:val="af-ZA"/>
        </w:rPr>
      </w:pPr>
      <w:r w:rsidRPr="008B2DC9">
        <w:rPr>
          <w:lang w:val="af-ZA"/>
        </w:rPr>
        <w:t>Die grootste teleurstelling was vir die Valencia produsente - waar die finale telling ongeveer 11,58% minder as die oorspronklike 52 877 400 kartonne skatting was. Dit kom neer op ongeveer 6 miljoen kartonne valencias  minder as wat verwag is. Die noordelike areas is die meeste geraak - Limpoporivier is met 24,7% minder; Senwes met 24,3%, Letsitele 17,3% en Hoedspruit 14,8%. Die skatting van Sondagsrivier was weereens prysenswaardig - die finaal wat vir uitvoer gepak is was slegs 0,9% minder as die skatting.</w:t>
      </w:r>
    </w:p>
    <w:p w:rsidR="008B2DC9" w:rsidRPr="008B2DC9" w:rsidRDefault="008B2DC9" w:rsidP="008B2DC9">
      <w:pPr>
        <w:spacing w:after="0" w:line="240" w:lineRule="auto"/>
        <w:jc w:val="both"/>
        <w:rPr>
          <w:lang w:val="af-ZA"/>
        </w:rPr>
      </w:pPr>
      <w:r w:rsidRPr="008B2DC9">
        <w:rPr>
          <w:lang w:val="af-ZA"/>
        </w:rPr>
        <w:t>In geheel was die 2019-uitvoere van 126 675 503 kartonne 7,62% laer as die oorspronklike skatting van 2019 - binne die aanvaarbare vlak. Hierdie tabel toon die werklike teenoor die skatting vir die afgelope 12 jaar; baie indrukwekkend!!</w:t>
      </w:r>
    </w:p>
    <w:tbl>
      <w:tblPr>
        <w:tblW w:w="10535" w:type="dxa"/>
        <w:tblInd w:w="-100" w:type="dxa"/>
        <w:tblLook w:val="04A0" w:firstRow="1" w:lastRow="0" w:firstColumn="1" w:lastColumn="0" w:noHBand="0" w:noVBand="1"/>
      </w:tblPr>
      <w:tblGrid>
        <w:gridCol w:w="1231"/>
        <w:gridCol w:w="700"/>
        <w:gridCol w:w="699"/>
        <w:gridCol w:w="856"/>
        <w:gridCol w:w="699"/>
        <w:gridCol w:w="856"/>
        <w:gridCol w:w="699"/>
        <w:gridCol w:w="856"/>
        <w:gridCol w:w="699"/>
        <w:gridCol w:w="699"/>
        <w:gridCol w:w="847"/>
        <w:gridCol w:w="847"/>
        <w:gridCol w:w="847"/>
      </w:tblGrid>
      <w:tr w:rsidR="00731F8B" w:rsidRPr="00D91607" w:rsidTr="00D91607">
        <w:trPr>
          <w:trHeight w:hRule="exact" w:val="315"/>
        </w:trPr>
        <w:tc>
          <w:tcPr>
            <w:tcW w:w="1220"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731F8B" w:rsidRPr="00D91607" w:rsidRDefault="00731F8B" w:rsidP="003C2188">
            <w:pPr>
              <w:spacing w:after="0" w:line="240" w:lineRule="auto"/>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 </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D91607" w:rsidRDefault="00731F8B" w:rsidP="003C2188">
            <w:pPr>
              <w:spacing w:after="0" w:line="240" w:lineRule="auto"/>
              <w:jc w:val="right"/>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2008</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D91607" w:rsidRDefault="00731F8B" w:rsidP="003C2188">
            <w:pPr>
              <w:spacing w:after="0" w:line="240" w:lineRule="auto"/>
              <w:jc w:val="right"/>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2009</w:t>
            </w:r>
          </w:p>
        </w:tc>
        <w:tc>
          <w:tcPr>
            <w:tcW w:w="857"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D91607" w:rsidRDefault="00731F8B" w:rsidP="003C2188">
            <w:pPr>
              <w:spacing w:after="0" w:line="240" w:lineRule="auto"/>
              <w:jc w:val="right"/>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2010</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D91607" w:rsidRDefault="00731F8B" w:rsidP="003C2188">
            <w:pPr>
              <w:spacing w:after="0" w:line="240" w:lineRule="auto"/>
              <w:jc w:val="right"/>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2011</w:t>
            </w:r>
          </w:p>
        </w:tc>
        <w:tc>
          <w:tcPr>
            <w:tcW w:w="857"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D91607" w:rsidRDefault="00731F8B" w:rsidP="003C2188">
            <w:pPr>
              <w:spacing w:after="0" w:line="240" w:lineRule="auto"/>
              <w:jc w:val="right"/>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2012</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D91607" w:rsidRDefault="00731F8B" w:rsidP="003C2188">
            <w:pPr>
              <w:spacing w:after="0" w:line="240" w:lineRule="auto"/>
              <w:jc w:val="right"/>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2013</w:t>
            </w:r>
          </w:p>
        </w:tc>
        <w:tc>
          <w:tcPr>
            <w:tcW w:w="857"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D91607" w:rsidRDefault="00731F8B" w:rsidP="003C2188">
            <w:pPr>
              <w:spacing w:after="0" w:line="240" w:lineRule="auto"/>
              <w:jc w:val="right"/>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2014</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D91607" w:rsidRDefault="00731F8B" w:rsidP="003C2188">
            <w:pPr>
              <w:spacing w:after="0" w:line="240" w:lineRule="auto"/>
              <w:jc w:val="right"/>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2015</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D91607" w:rsidRDefault="00731F8B" w:rsidP="003C2188">
            <w:pPr>
              <w:spacing w:after="0" w:line="240" w:lineRule="auto"/>
              <w:jc w:val="right"/>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2016</w:t>
            </w:r>
          </w:p>
        </w:tc>
        <w:tc>
          <w:tcPr>
            <w:tcW w:w="848" w:type="dxa"/>
            <w:tcBorders>
              <w:top w:val="single" w:sz="8" w:space="0" w:color="000000"/>
              <w:left w:val="nil"/>
              <w:bottom w:val="single" w:sz="8" w:space="0" w:color="000000"/>
              <w:right w:val="single" w:sz="4" w:space="0" w:color="auto"/>
            </w:tcBorders>
            <w:shd w:val="clear" w:color="000000" w:fill="F2F2F2"/>
            <w:vAlign w:val="center"/>
            <w:hideMark/>
          </w:tcPr>
          <w:p w:rsidR="00731F8B" w:rsidRPr="00D91607" w:rsidRDefault="00731F8B" w:rsidP="003C2188">
            <w:pPr>
              <w:spacing w:after="0" w:line="240" w:lineRule="auto"/>
              <w:jc w:val="right"/>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2017</w:t>
            </w:r>
          </w:p>
        </w:tc>
        <w:tc>
          <w:tcPr>
            <w:tcW w:w="848" w:type="dxa"/>
            <w:tcBorders>
              <w:top w:val="single" w:sz="4" w:space="0" w:color="auto"/>
              <w:left w:val="single" w:sz="4" w:space="0" w:color="auto"/>
              <w:bottom w:val="single" w:sz="4" w:space="0" w:color="auto"/>
              <w:right w:val="single" w:sz="4" w:space="0" w:color="auto"/>
            </w:tcBorders>
            <w:shd w:val="clear" w:color="000000" w:fill="F2F2F2"/>
            <w:vAlign w:val="center"/>
          </w:tcPr>
          <w:p w:rsidR="00731F8B" w:rsidRPr="00D91607" w:rsidRDefault="00731F8B" w:rsidP="003C2188">
            <w:pPr>
              <w:spacing w:after="0" w:line="240" w:lineRule="auto"/>
              <w:jc w:val="right"/>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2018</w:t>
            </w:r>
          </w:p>
        </w:tc>
        <w:tc>
          <w:tcPr>
            <w:tcW w:w="848" w:type="dxa"/>
            <w:tcBorders>
              <w:top w:val="single" w:sz="4" w:space="0" w:color="auto"/>
              <w:left w:val="single" w:sz="4" w:space="0" w:color="auto"/>
              <w:bottom w:val="single" w:sz="4" w:space="0" w:color="auto"/>
              <w:right w:val="single" w:sz="4" w:space="0" w:color="auto"/>
            </w:tcBorders>
            <w:shd w:val="clear" w:color="000000" w:fill="F2F2F2"/>
            <w:vAlign w:val="center"/>
          </w:tcPr>
          <w:p w:rsidR="00731F8B" w:rsidRPr="00D91607" w:rsidRDefault="00731F8B" w:rsidP="003C2188">
            <w:pPr>
              <w:spacing w:after="0" w:line="240" w:lineRule="auto"/>
              <w:jc w:val="right"/>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2019</w:t>
            </w:r>
          </w:p>
        </w:tc>
      </w:tr>
      <w:tr w:rsidR="00731F8B" w:rsidRPr="00D91607" w:rsidTr="00D91607">
        <w:trPr>
          <w:trHeight w:hRule="exact" w:val="315"/>
        </w:trPr>
        <w:tc>
          <w:tcPr>
            <w:tcW w:w="1220" w:type="dxa"/>
            <w:tcBorders>
              <w:top w:val="nil"/>
              <w:left w:val="single" w:sz="8" w:space="0" w:color="000000"/>
              <w:bottom w:val="single" w:sz="8" w:space="0" w:color="000000"/>
              <w:right w:val="single" w:sz="8" w:space="0" w:color="000000"/>
            </w:tcBorders>
            <w:shd w:val="clear" w:color="000000" w:fill="F2F2F2"/>
            <w:vAlign w:val="center"/>
            <w:hideMark/>
          </w:tcPr>
          <w:p w:rsidR="00731F8B" w:rsidRPr="00D91607" w:rsidRDefault="00D91607" w:rsidP="003C2188">
            <w:pPr>
              <w:spacing w:after="0" w:line="240" w:lineRule="auto"/>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Pomelo’s</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2%</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8%</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-9%</w:t>
            </w:r>
          </w:p>
        </w:tc>
        <w:tc>
          <w:tcPr>
            <w:tcW w:w="857" w:type="dxa"/>
            <w:tcBorders>
              <w:top w:val="nil"/>
              <w:left w:val="nil"/>
              <w:bottom w:val="single" w:sz="8" w:space="0" w:color="000000"/>
              <w:right w:val="single" w:sz="8" w:space="0" w:color="000000"/>
            </w:tcBorders>
            <w:shd w:val="clear" w:color="000000" w:fill="FF0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-15%</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-14%</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-7%</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6%</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12%</w:t>
            </w:r>
          </w:p>
        </w:tc>
        <w:tc>
          <w:tcPr>
            <w:tcW w:w="848" w:type="dxa"/>
            <w:tcBorders>
              <w:top w:val="nil"/>
              <w:left w:val="nil"/>
              <w:bottom w:val="single" w:sz="8" w:space="0" w:color="000000"/>
              <w:right w:val="single" w:sz="4" w:space="0" w:color="auto"/>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w:t>
            </w:r>
          </w:p>
        </w:tc>
        <w:tc>
          <w:tcPr>
            <w:tcW w:w="848" w:type="dxa"/>
            <w:tcBorders>
              <w:top w:val="single" w:sz="4" w:space="0" w:color="auto"/>
              <w:left w:val="single" w:sz="4" w:space="0" w:color="auto"/>
              <w:bottom w:val="single" w:sz="4" w:space="0" w:color="auto"/>
              <w:right w:val="single" w:sz="4" w:space="0" w:color="auto"/>
            </w:tcBorders>
            <w:shd w:val="clear" w:color="auto" w:fill="FF0000"/>
            <w:vAlign w:val="center"/>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11%</w:t>
            </w:r>
          </w:p>
        </w:tc>
        <w:tc>
          <w:tcPr>
            <w:tcW w:w="848" w:type="dxa"/>
            <w:tcBorders>
              <w:top w:val="single" w:sz="4" w:space="0" w:color="auto"/>
              <w:left w:val="single" w:sz="4" w:space="0" w:color="auto"/>
              <w:bottom w:val="single" w:sz="4" w:space="0" w:color="auto"/>
              <w:right w:val="single" w:sz="4" w:space="0" w:color="auto"/>
            </w:tcBorders>
            <w:shd w:val="clear" w:color="auto" w:fill="FF0000"/>
          </w:tcPr>
          <w:p w:rsidR="00731F8B" w:rsidRPr="00D91607" w:rsidRDefault="00731F8B" w:rsidP="003C2188">
            <w:pPr>
              <w:spacing w:after="0" w:line="360" w:lineRule="auto"/>
              <w:jc w:val="center"/>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-11%</w:t>
            </w:r>
          </w:p>
        </w:tc>
      </w:tr>
      <w:tr w:rsidR="00731F8B" w:rsidRPr="00D91607" w:rsidTr="00D91607">
        <w:trPr>
          <w:trHeight w:hRule="exact" w:val="315"/>
        </w:trPr>
        <w:tc>
          <w:tcPr>
            <w:tcW w:w="1220" w:type="dxa"/>
            <w:tcBorders>
              <w:top w:val="nil"/>
              <w:left w:val="single" w:sz="8" w:space="0" w:color="000000"/>
              <w:bottom w:val="single" w:sz="8" w:space="0" w:color="000000"/>
              <w:right w:val="single" w:sz="8" w:space="0" w:color="000000"/>
            </w:tcBorders>
            <w:shd w:val="clear" w:color="000000" w:fill="F2F2F2"/>
            <w:vAlign w:val="center"/>
            <w:hideMark/>
          </w:tcPr>
          <w:p w:rsidR="00731F8B" w:rsidRPr="00D91607" w:rsidRDefault="00731F8B" w:rsidP="00D91607">
            <w:pPr>
              <w:spacing w:after="0" w:line="240" w:lineRule="auto"/>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S</w:t>
            </w:r>
            <w:r w:rsidR="00D91607" w:rsidRPr="00D91607">
              <w:rPr>
                <w:rFonts w:ascii="Arial" w:eastAsia="Times New Roman" w:hAnsi="Arial" w:cs="Arial"/>
                <w:b/>
                <w:bCs/>
                <w:noProof/>
                <w:color w:val="000000"/>
                <w:sz w:val="16"/>
                <w:szCs w:val="16"/>
                <w:lang w:val="af-ZA" w:eastAsia="en-GB"/>
              </w:rPr>
              <w:t>agte Sitrus</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9%</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Spot on</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14%</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Spot on</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3%</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10%</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bCs/>
                <w:noProof/>
                <w:color w:val="000000"/>
                <w:sz w:val="16"/>
                <w:szCs w:val="16"/>
                <w:lang w:val="af-ZA" w:eastAsia="en-GB"/>
              </w:rPr>
            </w:pPr>
            <w:r w:rsidRPr="00D91607">
              <w:rPr>
                <w:rFonts w:ascii="Arial" w:eastAsia="Times New Roman" w:hAnsi="Arial" w:cs="Arial"/>
                <w:bCs/>
                <w:noProof/>
                <w:color w:val="000000"/>
                <w:sz w:val="16"/>
                <w:szCs w:val="16"/>
                <w:lang w:val="af-ZA" w:eastAsia="en-GB"/>
              </w:rPr>
              <w:t>9%</w:t>
            </w:r>
          </w:p>
        </w:tc>
        <w:tc>
          <w:tcPr>
            <w:tcW w:w="848" w:type="dxa"/>
            <w:tcBorders>
              <w:top w:val="nil"/>
              <w:left w:val="nil"/>
              <w:bottom w:val="single" w:sz="8" w:space="0" w:color="000000"/>
              <w:right w:val="single" w:sz="4" w:space="0" w:color="auto"/>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w:t>
            </w:r>
          </w:p>
        </w:tc>
        <w:tc>
          <w:tcPr>
            <w:tcW w:w="848" w:type="dxa"/>
            <w:tcBorders>
              <w:top w:val="single" w:sz="4" w:space="0" w:color="auto"/>
              <w:left w:val="single" w:sz="4" w:space="0" w:color="auto"/>
              <w:bottom w:val="single" w:sz="4" w:space="0" w:color="auto"/>
              <w:right w:val="single" w:sz="4" w:space="0" w:color="auto"/>
            </w:tcBorders>
            <w:shd w:val="clear" w:color="000000" w:fill="00B050"/>
            <w:vAlign w:val="center"/>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3%</w:t>
            </w:r>
          </w:p>
        </w:tc>
        <w:tc>
          <w:tcPr>
            <w:tcW w:w="848" w:type="dxa"/>
            <w:tcBorders>
              <w:top w:val="single" w:sz="4" w:space="0" w:color="auto"/>
              <w:left w:val="single" w:sz="4" w:space="0" w:color="auto"/>
              <w:bottom w:val="single" w:sz="4" w:space="0" w:color="auto"/>
              <w:right w:val="single" w:sz="4" w:space="0" w:color="auto"/>
            </w:tcBorders>
            <w:shd w:val="clear" w:color="000000" w:fill="00B050"/>
          </w:tcPr>
          <w:p w:rsidR="00731F8B" w:rsidRPr="00D91607" w:rsidRDefault="00731F8B" w:rsidP="003C2188">
            <w:pPr>
              <w:spacing w:after="0" w:line="240" w:lineRule="auto"/>
              <w:jc w:val="center"/>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Spot on</w:t>
            </w:r>
          </w:p>
        </w:tc>
      </w:tr>
      <w:tr w:rsidR="00731F8B" w:rsidRPr="00D91607" w:rsidTr="00D91607">
        <w:trPr>
          <w:trHeight w:hRule="exact" w:val="315"/>
        </w:trPr>
        <w:tc>
          <w:tcPr>
            <w:tcW w:w="1220" w:type="dxa"/>
            <w:tcBorders>
              <w:top w:val="nil"/>
              <w:left w:val="single" w:sz="8" w:space="0" w:color="000000"/>
              <w:bottom w:val="single" w:sz="8" w:space="0" w:color="000000"/>
              <w:right w:val="single" w:sz="8" w:space="0" w:color="000000"/>
            </w:tcBorders>
            <w:shd w:val="clear" w:color="000000" w:fill="F2F2F2"/>
            <w:vAlign w:val="center"/>
            <w:hideMark/>
          </w:tcPr>
          <w:p w:rsidR="00731F8B" w:rsidRPr="00D91607" w:rsidRDefault="00D91607" w:rsidP="003C2188">
            <w:pPr>
              <w:spacing w:after="0" w:line="240" w:lineRule="auto"/>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Suurlemoene</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-16%</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8%</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-6%</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-9%</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-6%</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-5%</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8%</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10%</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bCs/>
                <w:noProof/>
                <w:color w:val="000000"/>
                <w:sz w:val="16"/>
                <w:szCs w:val="16"/>
                <w:lang w:val="af-ZA" w:eastAsia="en-GB"/>
              </w:rPr>
            </w:pPr>
            <w:r w:rsidRPr="00D91607">
              <w:rPr>
                <w:rFonts w:ascii="Arial" w:eastAsia="Times New Roman" w:hAnsi="Arial" w:cs="Arial"/>
                <w:bCs/>
                <w:noProof/>
                <w:color w:val="000000"/>
                <w:sz w:val="16"/>
                <w:szCs w:val="16"/>
                <w:lang w:val="af-ZA" w:eastAsia="en-GB"/>
              </w:rPr>
              <w:t>-7%</w:t>
            </w:r>
          </w:p>
        </w:tc>
        <w:tc>
          <w:tcPr>
            <w:tcW w:w="848" w:type="dxa"/>
            <w:tcBorders>
              <w:top w:val="nil"/>
              <w:left w:val="nil"/>
              <w:bottom w:val="single" w:sz="8" w:space="0" w:color="000000"/>
              <w:right w:val="single" w:sz="4" w:space="0" w:color="auto"/>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7%</w:t>
            </w:r>
          </w:p>
        </w:tc>
        <w:tc>
          <w:tcPr>
            <w:tcW w:w="848" w:type="dxa"/>
            <w:tcBorders>
              <w:top w:val="single" w:sz="4" w:space="0" w:color="auto"/>
              <w:left w:val="single" w:sz="4" w:space="0" w:color="auto"/>
              <w:bottom w:val="single" w:sz="4" w:space="0" w:color="auto"/>
              <w:right w:val="single" w:sz="4" w:space="0" w:color="auto"/>
            </w:tcBorders>
            <w:shd w:val="clear" w:color="auto" w:fill="00B050"/>
            <w:vAlign w:val="center"/>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-4%</w:t>
            </w:r>
          </w:p>
        </w:tc>
        <w:tc>
          <w:tcPr>
            <w:tcW w:w="848" w:type="dxa"/>
            <w:tcBorders>
              <w:top w:val="single" w:sz="4" w:space="0" w:color="auto"/>
              <w:left w:val="single" w:sz="4" w:space="0" w:color="auto"/>
              <w:bottom w:val="single" w:sz="4" w:space="0" w:color="auto"/>
              <w:right w:val="single" w:sz="4" w:space="0" w:color="auto"/>
            </w:tcBorders>
            <w:shd w:val="clear" w:color="auto" w:fill="00B050"/>
          </w:tcPr>
          <w:p w:rsidR="00731F8B" w:rsidRPr="00D91607" w:rsidRDefault="00731F8B" w:rsidP="003C2188">
            <w:pPr>
              <w:spacing w:after="0" w:line="240" w:lineRule="auto"/>
              <w:jc w:val="center"/>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Spot on</w:t>
            </w:r>
          </w:p>
        </w:tc>
      </w:tr>
      <w:tr w:rsidR="00731F8B" w:rsidRPr="00D91607" w:rsidTr="00D91607">
        <w:trPr>
          <w:trHeight w:hRule="exact" w:val="315"/>
        </w:trPr>
        <w:tc>
          <w:tcPr>
            <w:tcW w:w="1220" w:type="dxa"/>
            <w:tcBorders>
              <w:top w:val="nil"/>
              <w:left w:val="single" w:sz="8" w:space="0" w:color="000000"/>
              <w:bottom w:val="single" w:sz="8" w:space="0" w:color="000000"/>
              <w:right w:val="single" w:sz="8" w:space="0" w:color="000000"/>
            </w:tcBorders>
            <w:shd w:val="clear" w:color="000000" w:fill="F2F2F2"/>
            <w:vAlign w:val="center"/>
            <w:hideMark/>
          </w:tcPr>
          <w:p w:rsidR="00731F8B" w:rsidRPr="00D91607" w:rsidRDefault="00D91607" w:rsidP="003C2188">
            <w:pPr>
              <w:spacing w:after="0" w:line="240" w:lineRule="auto"/>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Nawels</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-8%</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11%</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-6%</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-8%</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7%</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2%</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-3%</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6%</w:t>
            </w:r>
          </w:p>
        </w:tc>
        <w:tc>
          <w:tcPr>
            <w:tcW w:w="848" w:type="dxa"/>
            <w:tcBorders>
              <w:top w:val="nil"/>
              <w:left w:val="nil"/>
              <w:bottom w:val="single" w:sz="8" w:space="0" w:color="000000"/>
              <w:right w:val="single" w:sz="4" w:space="0" w:color="auto"/>
            </w:tcBorders>
            <w:shd w:val="clear" w:color="000000" w:fill="FF0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-20%</w:t>
            </w:r>
          </w:p>
        </w:tc>
        <w:tc>
          <w:tcPr>
            <w:tcW w:w="848" w:type="dxa"/>
            <w:tcBorders>
              <w:top w:val="single" w:sz="4" w:space="0" w:color="auto"/>
              <w:left w:val="single" w:sz="4" w:space="0" w:color="auto"/>
              <w:bottom w:val="single" w:sz="4" w:space="0" w:color="auto"/>
              <w:right w:val="single" w:sz="4" w:space="0" w:color="auto"/>
            </w:tcBorders>
            <w:shd w:val="clear" w:color="auto" w:fill="00B050"/>
            <w:vAlign w:val="center"/>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4%</w:t>
            </w:r>
          </w:p>
        </w:tc>
        <w:tc>
          <w:tcPr>
            <w:tcW w:w="848" w:type="dxa"/>
            <w:tcBorders>
              <w:top w:val="single" w:sz="4" w:space="0" w:color="auto"/>
              <w:left w:val="single" w:sz="4" w:space="0" w:color="auto"/>
              <w:bottom w:val="single" w:sz="4" w:space="0" w:color="auto"/>
              <w:right w:val="single" w:sz="4" w:space="0" w:color="auto"/>
            </w:tcBorders>
            <w:shd w:val="clear" w:color="auto" w:fill="FFC000"/>
          </w:tcPr>
          <w:p w:rsidR="00731F8B" w:rsidRPr="00D91607" w:rsidRDefault="00731F8B" w:rsidP="003C2188">
            <w:pPr>
              <w:spacing w:after="0" w:line="240" w:lineRule="auto"/>
              <w:jc w:val="center"/>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-10%</w:t>
            </w:r>
          </w:p>
        </w:tc>
      </w:tr>
      <w:tr w:rsidR="00731F8B" w:rsidRPr="00D91607" w:rsidTr="00D91607">
        <w:trPr>
          <w:trHeight w:hRule="exact" w:val="315"/>
        </w:trPr>
        <w:tc>
          <w:tcPr>
            <w:tcW w:w="1220" w:type="dxa"/>
            <w:tcBorders>
              <w:top w:val="nil"/>
              <w:left w:val="single" w:sz="8" w:space="0" w:color="000000"/>
              <w:bottom w:val="single" w:sz="8" w:space="0" w:color="000000"/>
              <w:right w:val="single" w:sz="8" w:space="0" w:color="000000"/>
            </w:tcBorders>
            <w:shd w:val="clear" w:color="000000" w:fill="F2F2F2"/>
            <w:vAlign w:val="center"/>
            <w:hideMark/>
          </w:tcPr>
          <w:p w:rsidR="00731F8B" w:rsidRPr="00D91607" w:rsidRDefault="00731F8B" w:rsidP="003C2188">
            <w:pPr>
              <w:spacing w:after="0" w:line="240" w:lineRule="auto"/>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 Valencia</w:t>
            </w:r>
            <w:r w:rsidR="00D91607" w:rsidRPr="00D91607">
              <w:rPr>
                <w:rFonts w:ascii="Arial" w:eastAsia="Times New Roman" w:hAnsi="Arial" w:cs="Arial"/>
                <w:b/>
                <w:bCs/>
                <w:noProof/>
                <w:color w:val="000000"/>
                <w:sz w:val="16"/>
                <w:szCs w:val="16"/>
                <w:lang w:val="af-ZA" w:eastAsia="en-GB"/>
              </w:rPr>
              <w:t>s</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-3%</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12%</w:t>
            </w:r>
          </w:p>
        </w:tc>
        <w:tc>
          <w:tcPr>
            <w:tcW w:w="857" w:type="dxa"/>
            <w:tcBorders>
              <w:top w:val="nil"/>
              <w:left w:val="nil"/>
              <w:bottom w:val="single" w:sz="8" w:space="0" w:color="000000"/>
              <w:right w:val="single" w:sz="8" w:space="0" w:color="000000"/>
            </w:tcBorders>
            <w:shd w:val="clear" w:color="000000" w:fill="FF0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-11%</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-3%</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6%</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Spot on</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5%</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-11%</w:t>
            </w:r>
          </w:p>
        </w:tc>
        <w:tc>
          <w:tcPr>
            <w:tcW w:w="848" w:type="dxa"/>
            <w:tcBorders>
              <w:top w:val="nil"/>
              <w:left w:val="nil"/>
              <w:bottom w:val="single" w:sz="8" w:space="0" w:color="000000"/>
              <w:right w:val="single" w:sz="4" w:space="0" w:color="auto"/>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7%</w:t>
            </w:r>
          </w:p>
        </w:tc>
        <w:tc>
          <w:tcPr>
            <w:tcW w:w="848" w:type="dxa"/>
            <w:tcBorders>
              <w:top w:val="single" w:sz="4" w:space="0" w:color="auto"/>
              <w:left w:val="single" w:sz="4" w:space="0" w:color="auto"/>
              <w:bottom w:val="single" w:sz="4" w:space="0" w:color="auto"/>
              <w:right w:val="single" w:sz="4" w:space="0" w:color="auto"/>
            </w:tcBorders>
            <w:shd w:val="clear" w:color="auto" w:fill="00B050"/>
            <w:vAlign w:val="center"/>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 xml:space="preserve">Spot on </w:t>
            </w:r>
          </w:p>
        </w:tc>
        <w:tc>
          <w:tcPr>
            <w:tcW w:w="848" w:type="dxa"/>
            <w:tcBorders>
              <w:top w:val="single" w:sz="4" w:space="0" w:color="auto"/>
              <w:left w:val="single" w:sz="4" w:space="0" w:color="auto"/>
              <w:bottom w:val="single" w:sz="4" w:space="0" w:color="auto"/>
              <w:right w:val="single" w:sz="4" w:space="0" w:color="auto"/>
            </w:tcBorders>
            <w:shd w:val="clear" w:color="auto" w:fill="FF0000"/>
          </w:tcPr>
          <w:p w:rsidR="00731F8B" w:rsidRPr="00D91607" w:rsidRDefault="00731F8B" w:rsidP="003C2188">
            <w:pPr>
              <w:spacing w:after="0" w:line="240" w:lineRule="auto"/>
              <w:jc w:val="center"/>
              <w:rPr>
                <w:rFonts w:ascii="Arial" w:eastAsia="Times New Roman" w:hAnsi="Arial" w:cs="Arial"/>
                <w:noProof/>
                <w:sz w:val="16"/>
                <w:szCs w:val="16"/>
                <w:lang w:val="af-ZA" w:eastAsia="en-GB"/>
              </w:rPr>
            </w:pPr>
            <w:r w:rsidRPr="00D91607">
              <w:rPr>
                <w:rFonts w:ascii="Arial" w:eastAsia="Times New Roman" w:hAnsi="Arial" w:cs="Arial"/>
                <w:noProof/>
                <w:sz w:val="16"/>
                <w:szCs w:val="16"/>
                <w:lang w:val="af-ZA" w:eastAsia="en-GB"/>
              </w:rPr>
              <w:t>-12</w:t>
            </w:r>
            <w:r w:rsidRPr="00D91607">
              <w:rPr>
                <w:rFonts w:ascii="Arial" w:eastAsia="Times New Roman" w:hAnsi="Arial" w:cs="Arial"/>
                <w:noProof/>
                <w:sz w:val="16"/>
                <w:szCs w:val="16"/>
                <w:shd w:val="clear" w:color="auto" w:fill="FF0000"/>
                <w:lang w:val="af-ZA" w:eastAsia="en-GB"/>
              </w:rPr>
              <w:t>%</w:t>
            </w:r>
          </w:p>
        </w:tc>
      </w:tr>
      <w:tr w:rsidR="00731F8B" w:rsidRPr="00D91607" w:rsidTr="00D91607">
        <w:trPr>
          <w:trHeight w:hRule="exact" w:val="315"/>
        </w:trPr>
        <w:tc>
          <w:tcPr>
            <w:tcW w:w="1220" w:type="dxa"/>
            <w:tcBorders>
              <w:top w:val="nil"/>
              <w:left w:val="single" w:sz="8" w:space="0" w:color="000000"/>
              <w:bottom w:val="single" w:sz="8" w:space="0" w:color="000000"/>
              <w:right w:val="single" w:sz="8" w:space="0" w:color="000000"/>
            </w:tcBorders>
            <w:shd w:val="clear" w:color="000000" w:fill="F2F2F2"/>
            <w:vAlign w:val="center"/>
            <w:hideMark/>
          </w:tcPr>
          <w:p w:rsidR="00731F8B" w:rsidRPr="00D91607" w:rsidRDefault="00731F8B" w:rsidP="003C2188">
            <w:pPr>
              <w:spacing w:after="0" w:line="240" w:lineRule="auto"/>
              <w:rPr>
                <w:rFonts w:ascii="Arial" w:eastAsia="Times New Roman" w:hAnsi="Arial" w:cs="Arial"/>
                <w:b/>
                <w:bCs/>
                <w:noProof/>
                <w:color w:val="000000"/>
                <w:sz w:val="16"/>
                <w:szCs w:val="16"/>
                <w:lang w:val="af-ZA" w:eastAsia="en-GB"/>
              </w:rPr>
            </w:pPr>
            <w:r w:rsidRPr="00D91607">
              <w:rPr>
                <w:rFonts w:ascii="Arial" w:eastAsia="Times New Roman" w:hAnsi="Arial" w:cs="Arial"/>
                <w:b/>
                <w:bCs/>
                <w:noProof/>
                <w:color w:val="000000"/>
                <w:sz w:val="16"/>
                <w:szCs w:val="16"/>
                <w:lang w:val="af-ZA" w:eastAsia="en-GB"/>
              </w:rPr>
              <w:t>TOTA</w:t>
            </w:r>
            <w:r w:rsidR="00D91607" w:rsidRPr="00D91607">
              <w:rPr>
                <w:rFonts w:ascii="Arial" w:eastAsia="Times New Roman" w:hAnsi="Arial" w:cs="Arial"/>
                <w:b/>
                <w:bCs/>
                <w:noProof/>
                <w:color w:val="000000"/>
                <w:sz w:val="16"/>
                <w:szCs w:val="16"/>
                <w:lang w:val="af-ZA" w:eastAsia="en-GB"/>
              </w:rPr>
              <w:t>A</w:t>
            </w:r>
            <w:r w:rsidRPr="00D91607">
              <w:rPr>
                <w:rFonts w:ascii="Arial" w:eastAsia="Times New Roman" w:hAnsi="Arial" w:cs="Arial"/>
                <w:b/>
                <w:bCs/>
                <w:noProof/>
                <w:color w:val="000000"/>
                <w:sz w:val="16"/>
                <w:szCs w:val="16"/>
                <w:lang w:val="af-ZA" w:eastAsia="en-GB"/>
              </w:rPr>
              <w:t>L</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-5%</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10%</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-7%</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-5%</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5%</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4%</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D91607" w:rsidRDefault="00731F8B" w:rsidP="003C2188">
            <w:pPr>
              <w:spacing w:after="0" w:line="240" w:lineRule="auto"/>
              <w:jc w:val="right"/>
              <w:rPr>
                <w:rFonts w:ascii="Arial" w:eastAsia="Times New Roman" w:hAnsi="Arial" w:cs="Arial"/>
                <w:bCs/>
                <w:noProof/>
                <w:color w:val="000000"/>
                <w:sz w:val="16"/>
                <w:szCs w:val="16"/>
                <w:lang w:val="af-ZA" w:eastAsia="en-GB"/>
              </w:rPr>
            </w:pPr>
            <w:r w:rsidRPr="00D91607">
              <w:rPr>
                <w:rFonts w:ascii="Arial" w:eastAsia="Times New Roman" w:hAnsi="Arial" w:cs="Arial"/>
                <w:bCs/>
                <w:noProof/>
                <w:color w:val="000000"/>
                <w:sz w:val="16"/>
                <w:szCs w:val="16"/>
                <w:lang w:val="af-ZA" w:eastAsia="en-GB"/>
              </w:rPr>
              <w:t>-2%</w:t>
            </w:r>
          </w:p>
        </w:tc>
        <w:tc>
          <w:tcPr>
            <w:tcW w:w="848" w:type="dxa"/>
            <w:tcBorders>
              <w:top w:val="nil"/>
              <w:left w:val="nil"/>
              <w:bottom w:val="single" w:sz="8" w:space="0" w:color="000000"/>
              <w:right w:val="single" w:sz="4" w:space="0" w:color="auto"/>
            </w:tcBorders>
            <w:shd w:val="clear" w:color="000000" w:fill="00B050"/>
            <w:vAlign w:val="center"/>
            <w:hideMark/>
          </w:tcPr>
          <w:p w:rsidR="00731F8B" w:rsidRPr="00D91607" w:rsidRDefault="00731F8B" w:rsidP="003C2188">
            <w:pPr>
              <w:spacing w:after="0" w:line="240" w:lineRule="auto"/>
              <w:rPr>
                <w:rFonts w:ascii="Arial" w:eastAsia="Times New Roman" w:hAnsi="Arial" w:cs="Arial"/>
                <w:noProof/>
                <w:color w:val="000000"/>
                <w:sz w:val="14"/>
                <w:szCs w:val="14"/>
                <w:lang w:val="af-ZA" w:eastAsia="en-GB"/>
              </w:rPr>
            </w:pPr>
            <w:r w:rsidRPr="00D91607">
              <w:rPr>
                <w:rFonts w:ascii="Arial" w:eastAsia="Times New Roman" w:hAnsi="Arial" w:cs="Arial"/>
                <w:noProof/>
                <w:color w:val="000000"/>
                <w:sz w:val="14"/>
                <w:szCs w:val="14"/>
                <w:lang w:val="af-ZA" w:eastAsia="en-GB"/>
              </w:rPr>
              <w:t>Spot On</w:t>
            </w:r>
          </w:p>
        </w:tc>
        <w:tc>
          <w:tcPr>
            <w:tcW w:w="848" w:type="dxa"/>
            <w:tcBorders>
              <w:top w:val="single" w:sz="4" w:space="0" w:color="auto"/>
              <w:left w:val="single" w:sz="4" w:space="0" w:color="auto"/>
              <w:bottom w:val="single" w:sz="4" w:space="0" w:color="auto"/>
              <w:right w:val="single" w:sz="4" w:space="0" w:color="auto"/>
            </w:tcBorders>
            <w:shd w:val="clear" w:color="000000" w:fill="00B050"/>
            <w:vAlign w:val="center"/>
          </w:tcPr>
          <w:p w:rsidR="00731F8B" w:rsidRPr="00D91607" w:rsidRDefault="00731F8B" w:rsidP="003C2188">
            <w:pPr>
              <w:spacing w:after="0" w:line="240" w:lineRule="auto"/>
              <w:jc w:val="right"/>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2%</w:t>
            </w:r>
          </w:p>
        </w:tc>
        <w:tc>
          <w:tcPr>
            <w:tcW w:w="848" w:type="dxa"/>
            <w:tcBorders>
              <w:top w:val="single" w:sz="4" w:space="0" w:color="auto"/>
              <w:left w:val="single" w:sz="4" w:space="0" w:color="auto"/>
              <w:bottom w:val="single" w:sz="4" w:space="0" w:color="auto"/>
              <w:right w:val="single" w:sz="4" w:space="0" w:color="auto"/>
            </w:tcBorders>
            <w:shd w:val="clear" w:color="auto" w:fill="FFC000"/>
          </w:tcPr>
          <w:p w:rsidR="00731F8B" w:rsidRPr="00D91607" w:rsidRDefault="00731F8B" w:rsidP="003C2188">
            <w:pPr>
              <w:spacing w:after="0" w:line="240" w:lineRule="auto"/>
              <w:jc w:val="center"/>
              <w:rPr>
                <w:rFonts w:ascii="Arial" w:eastAsia="Times New Roman" w:hAnsi="Arial" w:cs="Arial"/>
                <w:noProof/>
                <w:color w:val="000000"/>
                <w:sz w:val="16"/>
                <w:szCs w:val="16"/>
                <w:lang w:val="af-ZA" w:eastAsia="en-GB"/>
              </w:rPr>
            </w:pPr>
            <w:r w:rsidRPr="00D91607">
              <w:rPr>
                <w:rFonts w:ascii="Arial" w:eastAsia="Times New Roman" w:hAnsi="Arial" w:cs="Arial"/>
                <w:noProof/>
                <w:color w:val="000000"/>
                <w:sz w:val="16"/>
                <w:szCs w:val="16"/>
                <w:lang w:val="af-ZA" w:eastAsia="en-GB"/>
              </w:rPr>
              <w:t>-8%</w:t>
            </w:r>
          </w:p>
        </w:tc>
      </w:tr>
    </w:tbl>
    <w:p w:rsidR="008B2DC9" w:rsidRDefault="008B2DC9" w:rsidP="008B2DC9">
      <w:pPr>
        <w:spacing w:after="0"/>
        <w:jc w:val="center"/>
      </w:pPr>
      <w:r w:rsidRPr="00D4003F">
        <w:rPr>
          <w:b/>
          <w:color w:val="0070C0"/>
          <w:sz w:val="20"/>
          <w:szCs w:val="20"/>
        </w:rPr>
        <w:t>DIE CGA GROEP SE MAATSKAPPYE (CRI, RIVER BIOSCIENCE, XSIT, CGA CULTIVAR COMPANY, CGA GROWER DEVELOPMENT COMPANY &amp; CITRUS ACADEMY) WORD DEUR SUIDER-AFRIKA SE SITRUSPRODUSENTE BEFONDS</w:t>
      </w:r>
    </w:p>
    <w:p w:rsidR="00731F8B" w:rsidRPr="00502EEB" w:rsidRDefault="00731F8B" w:rsidP="008B2DC9">
      <w:pPr>
        <w:spacing w:after="0" w:line="240" w:lineRule="auto"/>
        <w:rPr>
          <w:rFonts w:eastAsia="Times New Roman" w:cs="Calibri"/>
          <w:b/>
          <w:color w:val="C00000"/>
          <w:sz w:val="24"/>
          <w:szCs w:val="24"/>
          <w:u w:val="single"/>
          <w:lang w:val="en-US"/>
        </w:rPr>
      </w:pPr>
    </w:p>
    <w:sectPr w:rsidR="00731F8B" w:rsidRPr="00502EEB" w:rsidSect="005859D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DDE" w:rsidRDefault="00F84DDE" w:rsidP="00595E08">
      <w:pPr>
        <w:spacing w:after="0" w:line="240" w:lineRule="auto"/>
      </w:pPr>
      <w:r>
        <w:separator/>
      </w:r>
    </w:p>
  </w:endnote>
  <w:endnote w:type="continuationSeparator" w:id="0">
    <w:p w:rsidR="00F84DDE" w:rsidRDefault="00F84DD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DDE" w:rsidRDefault="00F84DDE" w:rsidP="00595E08">
      <w:pPr>
        <w:spacing w:after="0" w:line="240" w:lineRule="auto"/>
      </w:pPr>
      <w:r>
        <w:separator/>
      </w:r>
    </w:p>
  </w:footnote>
  <w:footnote w:type="continuationSeparator" w:id="0">
    <w:p w:rsidR="00F84DDE" w:rsidRDefault="00F84DDE"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B75C1"/>
    <w:rsid w:val="000D7425"/>
    <w:rsid w:val="000E541C"/>
    <w:rsid w:val="000F5B14"/>
    <w:rsid w:val="00110F70"/>
    <w:rsid w:val="001218D8"/>
    <w:rsid w:val="00122FC7"/>
    <w:rsid w:val="00132B04"/>
    <w:rsid w:val="00136127"/>
    <w:rsid w:val="00174465"/>
    <w:rsid w:val="00175734"/>
    <w:rsid w:val="001757E7"/>
    <w:rsid w:val="00185357"/>
    <w:rsid w:val="001A29BD"/>
    <w:rsid w:val="001B203D"/>
    <w:rsid w:val="001C679B"/>
    <w:rsid w:val="001D573C"/>
    <w:rsid w:val="001D69A2"/>
    <w:rsid w:val="0020144B"/>
    <w:rsid w:val="002139DB"/>
    <w:rsid w:val="002176D6"/>
    <w:rsid w:val="00225418"/>
    <w:rsid w:val="00230CA5"/>
    <w:rsid w:val="0023735C"/>
    <w:rsid w:val="002512C0"/>
    <w:rsid w:val="00267052"/>
    <w:rsid w:val="00297526"/>
    <w:rsid w:val="002A3E51"/>
    <w:rsid w:val="002D122B"/>
    <w:rsid w:val="0030169A"/>
    <w:rsid w:val="00313CB1"/>
    <w:rsid w:val="00352FAF"/>
    <w:rsid w:val="00361403"/>
    <w:rsid w:val="003959C7"/>
    <w:rsid w:val="003C27D4"/>
    <w:rsid w:val="003D70AB"/>
    <w:rsid w:val="003F0C6F"/>
    <w:rsid w:val="003F2574"/>
    <w:rsid w:val="003F6E31"/>
    <w:rsid w:val="003F7804"/>
    <w:rsid w:val="00455927"/>
    <w:rsid w:val="004645E1"/>
    <w:rsid w:val="00495189"/>
    <w:rsid w:val="00496A4F"/>
    <w:rsid w:val="004B7637"/>
    <w:rsid w:val="004C529E"/>
    <w:rsid w:val="004E0F63"/>
    <w:rsid w:val="00502EEB"/>
    <w:rsid w:val="0050561C"/>
    <w:rsid w:val="005330E2"/>
    <w:rsid w:val="00541EB1"/>
    <w:rsid w:val="00562B1F"/>
    <w:rsid w:val="005822CF"/>
    <w:rsid w:val="005859D8"/>
    <w:rsid w:val="00595E08"/>
    <w:rsid w:val="005B6970"/>
    <w:rsid w:val="005B7B5D"/>
    <w:rsid w:val="005E05EF"/>
    <w:rsid w:val="005F2989"/>
    <w:rsid w:val="005F4137"/>
    <w:rsid w:val="00600B79"/>
    <w:rsid w:val="006042E1"/>
    <w:rsid w:val="00611C22"/>
    <w:rsid w:val="00612231"/>
    <w:rsid w:val="006254FA"/>
    <w:rsid w:val="006302CB"/>
    <w:rsid w:val="0063644A"/>
    <w:rsid w:val="006412FF"/>
    <w:rsid w:val="0067189B"/>
    <w:rsid w:val="006852F9"/>
    <w:rsid w:val="00690E5D"/>
    <w:rsid w:val="0069320C"/>
    <w:rsid w:val="0069350E"/>
    <w:rsid w:val="006A0B6E"/>
    <w:rsid w:val="006C0370"/>
    <w:rsid w:val="006E0A15"/>
    <w:rsid w:val="006E394D"/>
    <w:rsid w:val="007264AE"/>
    <w:rsid w:val="00731F8B"/>
    <w:rsid w:val="00732CB3"/>
    <w:rsid w:val="00756469"/>
    <w:rsid w:val="00756592"/>
    <w:rsid w:val="00757321"/>
    <w:rsid w:val="00761318"/>
    <w:rsid w:val="007666C5"/>
    <w:rsid w:val="007830CC"/>
    <w:rsid w:val="007958FA"/>
    <w:rsid w:val="007A6F34"/>
    <w:rsid w:val="007A7102"/>
    <w:rsid w:val="007D4D85"/>
    <w:rsid w:val="007E360C"/>
    <w:rsid w:val="007E6B47"/>
    <w:rsid w:val="0081352C"/>
    <w:rsid w:val="00827F86"/>
    <w:rsid w:val="00836320"/>
    <w:rsid w:val="0085133F"/>
    <w:rsid w:val="00852AAD"/>
    <w:rsid w:val="0087221E"/>
    <w:rsid w:val="008755FB"/>
    <w:rsid w:val="008756F8"/>
    <w:rsid w:val="008A23F8"/>
    <w:rsid w:val="008A3110"/>
    <w:rsid w:val="008B1479"/>
    <w:rsid w:val="008B2DC9"/>
    <w:rsid w:val="008B5FDB"/>
    <w:rsid w:val="008B7F6E"/>
    <w:rsid w:val="00912266"/>
    <w:rsid w:val="009206C6"/>
    <w:rsid w:val="00940202"/>
    <w:rsid w:val="00947800"/>
    <w:rsid w:val="00953EE0"/>
    <w:rsid w:val="00954793"/>
    <w:rsid w:val="00954DBD"/>
    <w:rsid w:val="00955884"/>
    <w:rsid w:val="00962566"/>
    <w:rsid w:val="0097764C"/>
    <w:rsid w:val="00986613"/>
    <w:rsid w:val="009A1B72"/>
    <w:rsid w:val="009D0040"/>
    <w:rsid w:val="009D709A"/>
    <w:rsid w:val="00A20F03"/>
    <w:rsid w:val="00A31AD6"/>
    <w:rsid w:val="00A320B1"/>
    <w:rsid w:val="00A40974"/>
    <w:rsid w:val="00A54595"/>
    <w:rsid w:val="00A837EA"/>
    <w:rsid w:val="00A96822"/>
    <w:rsid w:val="00AA51FF"/>
    <w:rsid w:val="00AB5EC1"/>
    <w:rsid w:val="00AC7D19"/>
    <w:rsid w:val="00B0109A"/>
    <w:rsid w:val="00B04E97"/>
    <w:rsid w:val="00B06DA7"/>
    <w:rsid w:val="00B3410E"/>
    <w:rsid w:val="00B65D14"/>
    <w:rsid w:val="00B65EBE"/>
    <w:rsid w:val="00B673C4"/>
    <w:rsid w:val="00B84D8D"/>
    <w:rsid w:val="00BA0CB2"/>
    <w:rsid w:val="00BA3973"/>
    <w:rsid w:val="00BB0DE8"/>
    <w:rsid w:val="00BB2034"/>
    <w:rsid w:val="00BB4B0B"/>
    <w:rsid w:val="00BC0F93"/>
    <w:rsid w:val="00BE1805"/>
    <w:rsid w:val="00BF0FF8"/>
    <w:rsid w:val="00BF1983"/>
    <w:rsid w:val="00C02E4C"/>
    <w:rsid w:val="00C2737B"/>
    <w:rsid w:val="00C35B43"/>
    <w:rsid w:val="00C41489"/>
    <w:rsid w:val="00C510B2"/>
    <w:rsid w:val="00C51114"/>
    <w:rsid w:val="00CB303A"/>
    <w:rsid w:val="00CC000B"/>
    <w:rsid w:val="00CF5E26"/>
    <w:rsid w:val="00D0558A"/>
    <w:rsid w:val="00D11129"/>
    <w:rsid w:val="00D2092A"/>
    <w:rsid w:val="00D219B0"/>
    <w:rsid w:val="00D278A3"/>
    <w:rsid w:val="00D3722B"/>
    <w:rsid w:val="00D67D4B"/>
    <w:rsid w:val="00D84A21"/>
    <w:rsid w:val="00D91607"/>
    <w:rsid w:val="00D94669"/>
    <w:rsid w:val="00DA0CE9"/>
    <w:rsid w:val="00DC4F50"/>
    <w:rsid w:val="00DD3275"/>
    <w:rsid w:val="00DE100B"/>
    <w:rsid w:val="00E01533"/>
    <w:rsid w:val="00E017AC"/>
    <w:rsid w:val="00E0676F"/>
    <w:rsid w:val="00E14724"/>
    <w:rsid w:val="00E31082"/>
    <w:rsid w:val="00E3323F"/>
    <w:rsid w:val="00E40090"/>
    <w:rsid w:val="00E43E76"/>
    <w:rsid w:val="00EA7106"/>
    <w:rsid w:val="00EA717C"/>
    <w:rsid w:val="00ED209B"/>
    <w:rsid w:val="00EE395A"/>
    <w:rsid w:val="00F208EC"/>
    <w:rsid w:val="00F26119"/>
    <w:rsid w:val="00F34519"/>
    <w:rsid w:val="00F40554"/>
    <w:rsid w:val="00F440B1"/>
    <w:rsid w:val="00F679DE"/>
    <w:rsid w:val="00F84DDE"/>
    <w:rsid w:val="00F867C4"/>
    <w:rsid w:val="00FA06B9"/>
    <w:rsid w:val="00FA6F1F"/>
    <w:rsid w:val="00FE7527"/>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75219279">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77863950">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671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dcterms:created xsi:type="dcterms:W3CDTF">2019-12-06T09:53:00Z</dcterms:created>
  <dcterms:modified xsi:type="dcterms:W3CDTF">2019-12-06T09:53:00Z</dcterms:modified>
</cp:coreProperties>
</file>