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06046D" w:rsidRDefault="005859D8" w:rsidP="00AC513C">
      <w:pPr>
        <w:spacing w:after="0" w:line="240" w:lineRule="auto"/>
        <w:ind w:right="113"/>
        <w:rPr>
          <w:rFonts w:ascii="Comic Sans MS" w:hAnsi="Comic Sans MS"/>
          <w:b/>
          <w:i/>
          <w:noProof/>
          <w:sz w:val="36"/>
          <w:szCs w:val="36"/>
          <w:lang w:val="af-ZA"/>
        </w:rPr>
      </w:pPr>
      <w:r w:rsidRPr="0006046D">
        <w:rPr>
          <w:noProof/>
          <w:sz w:val="20"/>
          <w:szCs w:val="20"/>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13C" w:rsidRPr="0006046D">
        <w:rPr>
          <w:rFonts w:ascii="Comic Sans MS" w:hAnsi="Comic Sans MS"/>
          <w:b/>
          <w:i/>
          <w:noProof/>
          <w:sz w:val="36"/>
          <w:szCs w:val="36"/>
          <w:lang w:val="af-ZA"/>
        </w:rPr>
        <w:t>UIT DIE PEN VAN DIE CEO</w:t>
      </w:r>
      <w:r w:rsidRPr="0006046D">
        <w:rPr>
          <w:rFonts w:ascii="Comic Sans MS" w:hAnsi="Comic Sans MS"/>
          <w:b/>
          <w:i/>
          <w:noProof/>
          <w:sz w:val="36"/>
          <w:szCs w:val="36"/>
          <w:lang w:val="af-ZA"/>
        </w:rPr>
        <w:t xml:space="preserve"> (</w:t>
      </w:r>
      <w:r w:rsidR="00376FDD" w:rsidRPr="0006046D">
        <w:rPr>
          <w:rFonts w:ascii="Comic Sans MS" w:hAnsi="Comic Sans MS"/>
          <w:b/>
          <w:i/>
          <w:noProof/>
          <w:sz w:val="36"/>
          <w:szCs w:val="36"/>
          <w:lang w:val="af-ZA"/>
        </w:rPr>
        <w:t>31</w:t>
      </w:r>
      <w:r w:rsidR="00CE71FD" w:rsidRPr="0006046D">
        <w:rPr>
          <w:rFonts w:ascii="Comic Sans MS" w:hAnsi="Comic Sans MS"/>
          <w:b/>
          <w:i/>
          <w:noProof/>
          <w:sz w:val="36"/>
          <w:szCs w:val="36"/>
          <w:lang w:val="af-ZA"/>
        </w:rPr>
        <w:t>/20</w:t>
      </w:r>
      <w:r w:rsidRPr="0006046D">
        <w:rPr>
          <w:rFonts w:ascii="Comic Sans MS" w:hAnsi="Comic Sans MS"/>
          <w:b/>
          <w:i/>
          <w:noProof/>
          <w:sz w:val="36"/>
          <w:szCs w:val="36"/>
          <w:lang w:val="af-ZA"/>
        </w:rPr>
        <w:t>)</w:t>
      </w:r>
      <w:r w:rsidRPr="0006046D">
        <w:rPr>
          <w:noProof/>
          <w:sz w:val="20"/>
          <w:szCs w:val="20"/>
          <w:lang w:val="af-ZA" w:eastAsia="en-ZA"/>
        </w:rPr>
        <w:t xml:space="preserve"> </w:t>
      </w:r>
    </w:p>
    <w:p w:rsidR="005859D8" w:rsidRPr="0006046D" w:rsidRDefault="005859D8" w:rsidP="00AC513C">
      <w:pPr>
        <w:spacing w:after="0" w:line="240" w:lineRule="auto"/>
        <w:ind w:right="113"/>
        <w:rPr>
          <w:rFonts w:ascii="Comic Sans MS" w:hAnsi="Comic Sans MS"/>
          <w:b/>
          <w:noProof/>
          <w:color w:val="00B050"/>
          <w:sz w:val="20"/>
          <w:szCs w:val="20"/>
          <w:lang w:val="af-ZA"/>
        </w:rPr>
      </w:pPr>
      <w:r w:rsidRPr="0006046D">
        <w:rPr>
          <w:rFonts w:ascii="Comic Sans MS" w:hAnsi="Comic Sans MS"/>
          <w:b/>
          <w:noProof/>
          <w:color w:val="00B050"/>
          <w:sz w:val="20"/>
          <w:szCs w:val="20"/>
          <w:lang w:val="af-ZA"/>
        </w:rPr>
        <w:t>(</w:t>
      </w:r>
      <w:r w:rsidR="00AC513C" w:rsidRPr="0006046D">
        <w:rPr>
          <w:rFonts w:ascii="Comic Sans MS" w:hAnsi="Comic Sans MS"/>
          <w:b/>
          <w:noProof/>
          <w:color w:val="00B050"/>
          <w:sz w:val="20"/>
          <w:szCs w:val="20"/>
          <w:lang w:val="af-ZA"/>
        </w:rPr>
        <w:t>Volg my op T</w:t>
      </w:r>
      <w:r w:rsidRPr="0006046D">
        <w:rPr>
          <w:rFonts w:ascii="Comic Sans MS" w:hAnsi="Comic Sans MS"/>
          <w:b/>
          <w:noProof/>
          <w:color w:val="00B050"/>
          <w:sz w:val="20"/>
          <w:szCs w:val="20"/>
          <w:lang w:val="af-ZA"/>
        </w:rPr>
        <w:t>witter justchad_cga)</w:t>
      </w:r>
    </w:p>
    <w:p w:rsidR="00361403" w:rsidRPr="0006046D" w:rsidRDefault="00CC000B" w:rsidP="00183AAF">
      <w:pPr>
        <w:spacing w:after="0"/>
        <w:rPr>
          <w:rFonts w:ascii="Comic Sans MS" w:hAnsi="Comic Sans MS"/>
          <w:i/>
          <w:noProof/>
          <w:sz w:val="20"/>
          <w:szCs w:val="20"/>
          <w:lang w:val="af-ZA"/>
        </w:rPr>
      </w:pPr>
      <w:r w:rsidRPr="0006046D">
        <w:rPr>
          <w:rFonts w:ascii="Comic Sans MS" w:hAnsi="Comic Sans MS"/>
          <w:i/>
          <w:noProof/>
          <w:sz w:val="20"/>
          <w:szCs w:val="20"/>
          <w:lang w:val="af-ZA"/>
        </w:rPr>
        <w:t xml:space="preserve">Justin Chadwick </w:t>
      </w:r>
      <w:r w:rsidR="00376FDD" w:rsidRPr="0006046D">
        <w:rPr>
          <w:rFonts w:ascii="Comic Sans MS" w:hAnsi="Comic Sans MS"/>
          <w:i/>
          <w:noProof/>
          <w:sz w:val="20"/>
          <w:szCs w:val="20"/>
          <w:lang w:val="af-ZA"/>
        </w:rPr>
        <w:t>31</w:t>
      </w:r>
      <w:r w:rsidR="00B1459D" w:rsidRPr="0006046D">
        <w:rPr>
          <w:rFonts w:ascii="Comic Sans MS" w:hAnsi="Comic Sans MS"/>
          <w:i/>
          <w:noProof/>
          <w:sz w:val="20"/>
          <w:szCs w:val="20"/>
          <w:lang w:val="af-ZA"/>
        </w:rPr>
        <w:t xml:space="preserve"> Jul</w:t>
      </w:r>
      <w:r w:rsidR="00AC513C" w:rsidRPr="0006046D">
        <w:rPr>
          <w:rFonts w:ascii="Comic Sans MS" w:hAnsi="Comic Sans MS"/>
          <w:i/>
          <w:noProof/>
          <w:sz w:val="20"/>
          <w:szCs w:val="20"/>
          <w:lang w:val="af-ZA"/>
        </w:rPr>
        <w:t>ie</w:t>
      </w:r>
      <w:r w:rsidR="00CE71FD" w:rsidRPr="0006046D">
        <w:rPr>
          <w:rFonts w:ascii="Comic Sans MS" w:hAnsi="Comic Sans MS"/>
          <w:i/>
          <w:noProof/>
          <w:sz w:val="20"/>
          <w:szCs w:val="20"/>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C513C" w:rsidTr="00ED209B">
        <w:trPr>
          <w:trHeight w:val="555"/>
          <w:tblCellSpacing w:w="0" w:type="dxa"/>
        </w:trPr>
        <w:tc>
          <w:tcPr>
            <w:tcW w:w="10824" w:type="dxa"/>
            <w:vAlign w:val="center"/>
          </w:tcPr>
          <w:p w:rsidR="00012ACE" w:rsidRPr="00AC513C" w:rsidRDefault="0055135A" w:rsidP="00183AAF">
            <w:pPr>
              <w:pStyle w:val="Default"/>
              <w:rPr>
                <w:rFonts w:asciiTheme="minorHAnsi" w:hAnsiTheme="minorHAnsi" w:cstheme="minorHAnsi"/>
                <w:b/>
                <w:i/>
                <w:noProof/>
                <w:lang w:val="af-ZA"/>
              </w:rPr>
            </w:pPr>
            <w:r w:rsidRPr="00AC513C">
              <w:rPr>
                <w:rFonts w:asciiTheme="minorHAnsi" w:hAnsiTheme="minorHAnsi" w:cstheme="minorHAnsi"/>
                <w:b/>
                <w:i/>
                <w:noProof/>
                <w:lang w:val="af-ZA"/>
              </w:rPr>
              <w:t>“</w:t>
            </w:r>
            <w:r w:rsidR="00016FBA" w:rsidRPr="00AC513C">
              <w:rPr>
                <w:rFonts w:asciiTheme="minorHAnsi" w:hAnsiTheme="minorHAnsi" w:cstheme="minorHAnsi"/>
                <w:b/>
                <w:i/>
                <w:noProof/>
                <w:lang w:val="af-ZA"/>
              </w:rPr>
              <w:t>Ultimately, the only wealth that can sustain any community, economy or nation is derived from the photosynthetic process - green plants growing on regenerating soil.</w:t>
            </w:r>
            <w:r w:rsidR="00F0611E" w:rsidRPr="00AC513C">
              <w:rPr>
                <w:rFonts w:asciiTheme="minorHAnsi" w:hAnsiTheme="minorHAnsi" w:cstheme="minorHAnsi"/>
                <w:b/>
                <w:i/>
                <w:noProof/>
                <w:lang w:val="af-ZA"/>
              </w:rPr>
              <w:t xml:space="preserve">” </w:t>
            </w:r>
            <w:hyperlink r:id="rId8" w:history="1">
              <w:r w:rsidR="00016FBA" w:rsidRPr="00AC513C">
                <w:rPr>
                  <w:rFonts w:asciiTheme="minorHAnsi" w:hAnsiTheme="minorHAnsi" w:cstheme="minorHAnsi"/>
                  <w:b/>
                  <w:i/>
                  <w:noProof/>
                  <w:lang w:val="af-ZA"/>
                </w:rPr>
                <w:t>Allan Savory</w:t>
              </w:r>
            </w:hyperlink>
          </w:p>
        </w:tc>
      </w:tr>
    </w:tbl>
    <w:p w:rsidR="000A7AE7" w:rsidRPr="0006046D" w:rsidRDefault="000A7AE7" w:rsidP="00183AAF">
      <w:pPr>
        <w:spacing w:after="0"/>
        <w:rPr>
          <w:rFonts w:ascii="Arial" w:eastAsia="Times New Roman" w:hAnsi="Arial" w:cs="Arial"/>
          <w:b/>
          <w:noProof/>
          <w:color w:val="2F5496" w:themeColor="accent5" w:themeShade="BF"/>
          <w:sz w:val="20"/>
          <w:szCs w:val="20"/>
          <w:u w:val="single"/>
          <w:lang w:val="af-ZA"/>
        </w:rPr>
      </w:pPr>
      <w:r w:rsidRPr="0006046D">
        <w:rPr>
          <w:rFonts w:ascii="Arial" w:eastAsia="Times New Roman" w:hAnsi="Arial" w:cs="Arial"/>
          <w:b/>
          <w:noProof/>
          <w:color w:val="2F5496" w:themeColor="accent5" w:themeShade="BF"/>
          <w:sz w:val="20"/>
          <w:szCs w:val="20"/>
          <w:u w:val="single"/>
          <w:lang w:val="af-ZA"/>
        </w:rPr>
        <w:t>KONFRONTEER KLIMAATSVERANDERING</w:t>
      </w:r>
    </w:p>
    <w:p w:rsidR="000A7AE7" w:rsidRPr="0006046D" w:rsidRDefault="000A7AE7" w:rsidP="00183AAF">
      <w:pPr>
        <w:spacing w:after="0"/>
        <w:jc w:val="both"/>
        <w:rPr>
          <w:rFonts w:ascii="Arial" w:eastAsia="Times New Roman" w:hAnsi="Arial" w:cs="Arial"/>
          <w:noProof/>
          <w:sz w:val="18"/>
          <w:szCs w:val="18"/>
          <w:lang w:val="af-ZA"/>
        </w:rPr>
      </w:pPr>
      <w:r w:rsidRPr="0006046D">
        <w:rPr>
          <w:rFonts w:ascii="Arial" w:eastAsia="Times New Roman" w:hAnsi="Arial" w:cs="Arial"/>
          <w:noProof/>
          <w:sz w:val="18"/>
          <w:szCs w:val="18"/>
          <w:lang w:val="af-ZA"/>
        </w:rPr>
        <w:t xml:space="preserve">CGA was 'n stigterslid van die “Confronting Climate Change (CCC)” -projek - 'n Suid-Afrikaanse vrugte- en wyninisiatief wat in 2008 begin is. Die basiese konsep van die projek was om produsente en belanghebbendes in die voorsieningsketting in staat te stel om risiko's en geleenthede rakende koolstofvrystellings te identifiseer. Dit is bewerkstellig deur 'n proses waarby data in </w:t>
      </w:r>
      <w:r w:rsidR="00183AAF">
        <w:rPr>
          <w:rFonts w:ascii="Arial" w:eastAsia="Times New Roman" w:hAnsi="Arial" w:cs="Arial"/>
          <w:noProof/>
          <w:sz w:val="18"/>
          <w:szCs w:val="18"/>
          <w:lang w:val="af-ZA"/>
        </w:rPr>
        <w:t xml:space="preserve">'n aanlyn-koolstofrekenaar ingevoer </w:t>
      </w:r>
      <w:r w:rsidRPr="0006046D">
        <w:rPr>
          <w:rFonts w:ascii="Arial" w:eastAsia="Times New Roman" w:hAnsi="Arial" w:cs="Arial"/>
          <w:noProof/>
          <w:sz w:val="18"/>
          <w:szCs w:val="18"/>
          <w:lang w:val="af-ZA"/>
        </w:rPr>
        <w:t>word en deelnemers kan sien hoe hul syfers met ander om hulle vergelyk. Die hulpmiddel het vinnig 'hotspots' in boerdery</w:t>
      </w:r>
      <w:r w:rsidR="00183AAF">
        <w:rPr>
          <w:rFonts w:ascii="Arial" w:eastAsia="Times New Roman" w:hAnsi="Arial" w:cs="Arial"/>
          <w:noProof/>
          <w:sz w:val="18"/>
          <w:szCs w:val="18"/>
          <w:lang w:val="af-ZA"/>
        </w:rPr>
        <w:t xml:space="preserve"> </w:t>
      </w:r>
      <w:r w:rsidRPr="0006046D">
        <w:rPr>
          <w:rFonts w:ascii="Arial" w:eastAsia="Times New Roman" w:hAnsi="Arial" w:cs="Arial"/>
          <w:noProof/>
          <w:sz w:val="18"/>
          <w:szCs w:val="18"/>
          <w:lang w:val="af-ZA"/>
        </w:rPr>
        <w:t>bedrywighede opgetel, wat nie verbasend was nie, wat dikwels met energie-intensiewe aktiwiteite verband hou. In hierdie verband is die CCC-span in staat om gebruikers na meer doeltreffende en kostebesparende alternatiewe oplossings te lei. Benewens die illustrasie van hoe die vermindering van elektrisiteitsverbruik met verloop van tyd tot die vermindering van CO2-</w:t>
      </w:r>
      <w:r w:rsidR="00183AAF">
        <w:rPr>
          <w:rFonts w:ascii="Arial" w:eastAsia="Times New Roman" w:hAnsi="Arial" w:cs="Arial"/>
          <w:noProof/>
          <w:sz w:val="18"/>
          <w:szCs w:val="18"/>
          <w:lang w:val="af-ZA"/>
        </w:rPr>
        <w:t>vrystellings</w:t>
      </w:r>
      <w:r w:rsidRPr="0006046D">
        <w:rPr>
          <w:rFonts w:ascii="Arial" w:eastAsia="Times New Roman" w:hAnsi="Arial" w:cs="Arial"/>
          <w:noProof/>
          <w:sz w:val="18"/>
          <w:szCs w:val="18"/>
          <w:lang w:val="af-ZA"/>
        </w:rPr>
        <w:t xml:space="preserve"> gelei het, beklemtoon die kaarte CCC se deelname oor die hele land. Alhoewel die totale sitrusarea op rekord, verblydend is (+17 400 ha), is dit duidelik dat meer betrokkenheid van die noordelike produserende streke nodig is!</w:t>
      </w:r>
    </w:p>
    <w:p w:rsidR="00016FBA" w:rsidRPr="00AC513C" w:rsidRDefault="007E2048" w:rsidP="007E2048">
      <w:pPr>
        <w:spacing w:after="0"/>
        <w:rPr>
          <w:rFonts w:ascii="Arial" w:eastAsia="Times New Roman" w:hAnsi="Arial" w:cs="Arial"/>
          <w:noProof/>
          <w:sz w:val="20"/>
          <w:szCs w:val="20"/>
          <w:lang w:val="af-ZA"/>
        </w:rPr>
      </w:pPr>
      <w:r w:rsidRPr="00AC513C">
        <w:rPr>
          <w:rFonts w:ascii="Arial" w:eastAsia="Times New Roman" w:hAnsi="Arial" w:cs="Arial"/>
          <w:noProof/>
          <w:sz w:val="20"/>
          <w:szCs w:val="20"/>
          <w:lang w:val="en-US"/>
        </w:rPr>
        <w:drawing>
          <wp:inline distT="0" distB="0" distL="0" distR="0" wp14:anchorId="1EE9F905" wp14:editId="73CDE4D0">
            <wp:extent cx="3131389" cy="1986031"/>
            <wp:effectExtent l="19050" t="19050" r="1206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9753" cy="2010363"/>
                    </a:xfrm>
                    <a:prstGeom prst="rect">
                      <a:avLst/>
                    </a:prstGeom>
                    <a:ln>
                      <a:solidFill>
                        <a:schemeClr val="tx1"/>
                      </a:solidFill>
                    </a:ln>
                  </pic:spPr>
                </pic:pic>
              </a:graphicData>
            </a:graphic>
          </wp:inline>
        </w:drawing>
      </w:r>
      <w:r w:rsidRPr="00AC513C">
        <w:rPr>
          <w:rFonts w:ascii="Arial" w:eastAsia="Times New Roman" w:hAnsi="Arial" w:cs="Arial"/>
          <w:noProof/>
          <w:sz w:val="20"/>
          <w:szCs w:val="20"/>
          <w:lang w:val="af-ZA"/>
        </w:rPr>
        <w:t xml:space="preserve"> </w:t>
      </w:r>
      <w:r w:rsidRPr="00AC513C">
        <w:rPr>
          <w:rFonts w:ascii="Arial" w:eastAsia="Times New Roman" w:hAnsi="Arial" w:cs="Arial"/>
          <w:noProof/>
          <w:sz w:val="20"/>
          <w:szCs w:val="20"/>
          <w:lang w:val="en-US"/>
        </w:rPr>
        <w:drawing>
          <wp:inline distT="0" distB="0" distL="0" distR="0" wp14:anchorId="5DD67349" wp14:editId="125D7852">
            <wp:extent cx="3088256" cy="1984218"/>
            <wp:effectExtent l="19050" t="19050" r="1714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060" cy="1995015"/>
                    </a:xfrm>
                    <a:prstGeom prst="rect">
                      <a:avLst/>
                    </a:prstGeom>
                    <a:ln>
                      <a:solidFill>
                        <a:schemeClr val="tx1"/>
                      </a:solidFill>
                    </a:ln>
                  </pic:spPr>
                </pic:pic>
              </a:graphicData>
            </a:graphic>
          </wp:inline>
        </w:drawing>
      </w:r>
    </w:p>
    <w:p w:rsidR="00016FBA" w:rsidRPr="00AC513C" w:rsidRDefault="00DA0D3E" w:rsidP="00016FBA">
      <w:pPr>
        <w:spacing w:after="0"/>
        <w:rPr>
          <w:rFonts w:ascii="Arial" w:eastAsia="Times New Roman" w:hAnsi="Arial" w:cs="Arial"/>
          <w:noProof/>
          <w:sz w:val="20"/>
          <w:szCs w:val="20"/>
          <w:lang w:val="af-ZA"/>
        </w:rPr>
      </w:pPr>
      <w:bookmarkStart w:id="0" w:name="_GoBack"/>
      <w:r w:rsidRPr="00AC513C">
        <w:rPr>
          <w:rFonts w:ascii="Arial" w:eastAsia="Times New Roman" w:hAnsi="Arial" w:cs="Arial"/>
          <w:noProof/>
          <w:sz w:val="21"/>
          <w:szCs w:val="21"/>
          <w:lang w:val="en-US"/>
        </w:rPr>
        <w:drawing>
          <wp:inline distT="0" distB="0" distL="0" distR="0" wp14:anchorId="1FB70904" wp14:editId="4BE1AF4D">
            <wp:extent cx="6304458" cy="1905000"/>
            <wp:effectExtent l="19050" t="19050" r="2032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4385" cy="1917065"/>
                    </a:xfrm>
                    <a:prstGeom prst="rect">
                      <a:avLst/>
                    </a:prstGeom>
                    <a:ln>
                      <a:solidFill>
                        <a:schemeClr val="tx1"/>
                      </a:solidFill>
                    </a:ln>
                  </pic:spPr>
                </pic:pic>
              </a:graphicData>
            </a:graphic>
          </wp:inline>
        </w:drawing>
      </w:r>
      <w:bookmarkEnd w:id="0"/>
    </w:p>
    <w:p w:rsidR="000A7AE7" w:rsidRPr="0006046D" w:rsidRDefault="000A7AE7" w:rsidP="00183AAF">
      <w:pPr>
        <w:spacing w:after="0" w:line="240" w:lineRule="auto"/>
        <w:jc w:val="both"/>
        <w:rPr>
          <w:rFonts w:asciiTheme="minorBidi" w:eastAsiaTheme="minorHAnsi" w:hAnsiTheme="minorBidi" w:cstheme="minorBidi"/>
          <w:noProof/>
          <w:sz w:val="18"/>
          <w:szCs w:val="18"/>
          <w:lang w:val="af-ZA"/>
        </w:rPr>
      </w:pPr>
      <w:r w:rsidRPr="0006046D">
        <w:rPr>
          <w:rFonts w:asciiTheme="minorBidi" w:eastAsiaTheme="minorHAnsi" w:hAnsiTheme="minorBidi" w:cstheme="minorBidi"/>
          <w:noProof/>
          <w:sz w:val="18"/>
          <w:szCs w:val="18"/>
          <w:lang w:val="af-ZA"/>
        </w:rPr>
        <w:t xml:space="preserve">Hierdie kaarte is van die nuutste “Citrus Benchmarking” verslag verkry wat deur die CCC-span saamgestel is - kopieë </w:t>
      </w:r>
      <w:r w:rsidR="00183AAF">
        <w:rPr>
          <w:rFonts w:asciiTheme="minorBidi" w:eastAsiaTheme="minorHAnsi" w:hAnsiTheme="minorBidi" w:cstheme="minorBidi"/>
          <w:noProof/>
          <w:sz w:val="18"/>
          <w:szCs w:val="18"/>
          <w:lang w:val="af-ZA"/>
        </w:rPr>
        <w:t xml:space="preserve">is </w:t>
      </w:r>
      <w:r w:rsidRPr="0006046D">
        <w:rPr>
          <w:rFonts w:asciiTheme="minorBidi" w:eastAsiaTheme="minorHAnsi" w:hAnsiTheme="minorBidi" w:cstheme="minorBidi"/>
          <w:noProof/>
          <w:sz w:val="18"/>
          <w:szCs w:val="18"/>
          <w:lang w:val="af-ZA"/>
        </w:rPr>
        <w:t>by CGA (</w:t>
      </w:r>
      <w:hyperlink r:id="rId12" w:history="1">
        <w:r w:rsidRPr="0006046D">
          <w:rPr>
            <w:rStyle w:val="Hyperlink"/>
            <w:rFonts w:asciiTheme="minorBidi" w:eastAsiaTheme="minorHAnsi" w:hAnsiTheme="minorBidi" w:cstheme="minorBidi"/>
            <w:noProof/>
            <w:sz w:val="18"/>
            <w:szCs w:val="18"/>
            <w:lang w:val="af-ZA"/>
          </w:rPr>
          <w:t>ph@cga.co.za</w:t>
        </w:r>
      </w:hyperlink>
      <w:r w:rsidRPr="0006046D">
        <w:rPr>
          <w:rFonts w:asciiTheme="minorBidi" w:eastAsiaTheme="minorHAnsi" w:hAnsiTheme="minorBidi" w:cstheme="minorBidi"/>
          <w:noProof/>
          <w:sz w:val="18"/>
          <w:szCs w:val="18"/>
          <w:lang w:val="af-ZA"/>
        </w:rPr>
        <w:t xml:space="preserve">) beskikbaar. Besoek ook die CCC-webwerf vir meer inligting: </w:t>
      </w:r>
      <w:hyperlink r:id="rId13" w:history="1">
        <w:r w:rsidR="006F7388" w:rsidRPr="00564589">
          <w:rPr>
            <w:rStyle w:val="Hyperlink"/>
            <w:rFonts w:asciiTheme="minorBidi" w:eastAsiaTheme="minorHAnsi" w:hAnsiTheme="minorBidi" w:cstheme="minorBidi"/>
            <w:noProof/>
            <w:sz w:val="18"/>
            <w:szCs w:val="18"/>
            <w:lang w:val="af-ZA"/>
          </w:rPr>
          <w:t>https://www.climatefruitandwine.co.za/</w:t>
        </w:r>
      </w:hyperlink>
      <w:r w:rsidR="006F7388">
        <w:rPr>
          <w:rFonts w:asciiTheme="minorBidi" w:eastAsiaTheme="minorHAnsi" w:hAnsiTheme="minorBidi" w:cstheme="minorBidi"/>
          <w:noProof/>
          <w:sz w:val="18"/>
          <w:szCs w:val="18"/>
          <w:lang w:val="af-ZA"/>
        </w:rPr>
        <w:t xml:space="preserve">.  </w:t>
      </w:r>
      <w:r w:rsidRPr="0006046D">
        <w:rPr>
          <w:rFonts w:asciiTheme="minorBidi" w:eastAsiaTheme="minorHAnsi" w:hAnsiTheme="minorBidi" w:cstheme="minorBidi"/>
          <w:noProof/>
          <w:sz w:val="18"/>
          <w:szCs w:val="18"/>
          <w:lang w:val="af-ZA"/>
        </w:rPr>
        <w:t>HARVEST SA beklemtoon die CGA as medevoorsitter van die Wêreld Sitrus Organisasie in hul Julie / Augustus-uitgawe - skakel hieronder:</w:t>
      </w:r>
      <w:r w:rsidR="0006046D">
        <w:rPr>
          <w:rFonts w:asciiTheme="minorBidi" w:eastAsiaTheme="minorHAnsi" w:hAnsiTheme="minorBidi" w:cstheme="minorBidi"/>
          <w:noProof/>
          <w:sz w:val="18"/>
          <w:szCs w:val="18"/>
          <w:lang w:val="af-ZA"/>
        </w:rPr>
        <w:t xml:space="preserve"> </w:t>
      </w:r>
      <w:hyperlink r:id="rId14" w:history="1">
        <w:r w:rsidR="006F7388" w:rsidRPr="00564589">
          <w:rPr>
            <w:rStyle w:val="Hyperlink"/>
            <w:rFonts w:asciiTheme="minorBidi" w:eastAsiaTheme="minorHAnsi" w:hAnsiTheme="minorBidi" w:cstheme="minorBidi"/>
            <w:noProof/>
            <w:sz w:val="18"/>
            <w:szCs w:val="18"/>
            <w:lang w:val="af-ZA"/>
          </w:rPr>
          <w:t>https://indd.adobe.com/view/e2eea210-13f6-467e-a5e9-45f115215044</w:t>
        </w:r>
      </w:hyperlink>
      <w:r w:rsidR="006F7388">
        <w:rPr>
          <w:rFonts w:asciiTheme="minorBidi" w:eastAsiaTheme="minorHAnsi" w:hAnsiTheme="minorBidi" w:cstheme="minorBidi"/>
          <w:noProof/>
          <w:sz w:val="18"/>
          <w:szCs w:val="18"/>
          <w:lang w:val="af-ZA"/>
        </w:rPr>
        <w:t xml:space="preserve">. </w:t>
      </w:r>
    </w:p>
    <w:p w:rsidR="00895CBF" w:rsidRPr="006F7388" w:rsidRDefault="0006046D" w:rsidP="0043300C">
      <w:pPr>
        <w:spacing w:after="0"/>
        <w:rPr>
          <w:rFonts w:ascii="Arial" w:eastAsia="Times New Roman" w:hAnsi="Arial" w:cs="Arial"/>
          <w:b/>
          <w:noProof/>
          <w:color w:val="002060"/>
          <w:sz w:val="18"/>
          <w:szCs w:val="18"/>
          <w:u w:val="single"/>
          <w:lang w:val="af-ZA"/>
        </w:rPr>
      </w:pPr>
      <w:r w:rsidRPr="006F7388">
        <w:rPr>
          <w:rFonts w:ascii="Arial" w:eastAsia="Times New Roman" w:hAnsi="Arial" w:cs="Arial"/>
          <w:b/>
          <w:noProof/>
          <w:color w:val="002060"/>
          <w:sz w:val="18"/>
          <w:szCs w:val="18"/>
          <w:u w:val="single"/>
          <w:lang w:val="af-ZA"/>
        </w:rPr>
        <w:t>GEPAK EN VERSKEEP</w:t>
      </w:r>
    </w:p>
    <w:p w:rsidR="000160D8" w:rsidRPr="006F7388" w:rsidRDefault="0006046D" w:rsidP="0006046D">
      <w:pPr>
        <w:spacing w:after="0"/>
        <w:rPr>
          <w:rFonts w:ascii="Arial" w:eastAsia="Times New Roman" w:hAnsi="Arial" w:cs="Arial"/>
          <w:b/>
          <w:noProof/>
          <w:color w:val="2F5496" w:themeColor="accent5" w:themeShade="BF"/>
          <w:sz w:val="18"/>
          <w:szCs w:val="18"/>
          <w:u w:val="single"/>
          <w:lang w:val="af-ZA"/>
        </w:rPr>
      </w:pPr>
      <w:r w:rsidRPr="006F7388">
        <w:rPr>
          <w:rFonts w:ascii="Arial" w:eastAsia="Times New Roman" w:hAnsi="Arial" w:cs="Arial"/>
          <w:noProof/>
          <w:sz w:val="16"/>
          <w:szCs w:val="16"/>
          <w:lang w:val="af-ZA"/>
        </w:rPr>
        <w:t xml:space="preserve">Die </w:t>
      </w:r>
      <w:r w:rsidR="000160D8" w:rsidRPr="006F7388">
        <w:rPr>
          <w:rFonts w:ascii="Arial" w:eastAsia="Times New Roman" w:hAnsi="Arial" w:cs="Arial"/>
          <w:noProof/>
          <w:sz w:val="16"/>
          <w:szCs w:val="16"/>
          <w:lang w:val="af-ZA"/>
        </w:rPr>
        <w:t>Valencia Fo</w:t>
      </w:r>
      <w:r w:rsidRPr="006F7388">
        <w:rPr>
          <w:rFonts w:ascii="Arial" w:eastAsia="Times New Roman" w:hAnsi="Arial" w:cs="Arial"/>
          <w:noProof/>
          <w:sz w:val="16"/>
          <w:szCs w:val="16"/>
          <w:lang w:val="af-ZA"/>
        </w:rPr>
        <w:t xml:space="preserve">kusgroep het hul geprojekteerde uitvoervolumes tot </w:t>
      </w:r>
      <w:r w:rsidR="000160D8" w:rsidRPr="006F7388">
        <w:rPr>
          <w:rFonts w:ascii="Arial" w:eastAsia="Times New Roman" w:hAnsi="Arial" w:cs="Arial"/>
          <w:noProof/>
          <w:sz w:val="16"/>
          <w:szCs w:val="16"/>
          <w:lang w:val="af-ZA"/>
        </w:rPr>
        <w:t xml:space="preserve">47.9 m </w:t>
      </w:r>
      <w:r w:rsidRPr="006F7388">
        <w:rPr>
          <w:rFonts w:ascii="Arial" w:eastAsia="Times New Roman" w:hAnsi="Arial" w:cs="Arial"/>
          <w:noProof/>
          <w:sz w:val="16"/>
          <w:szCs w:val="16"/>
          <w:lang w:val="af-ZA"/>
        </w:rPr>
        <w:t>kartonne verminder en opgedateer.</w:t>
      </w:r>
    </w:p>
    <w:tbl>
      <w:tblPr>
        <w:tblW w:w="10510" w:type="dxa"/>
        <w:tblInd w:w="2" w:type="dxa"/>
        <w:tblLayout w:type="fixed"/>
        <w:tblLook w:val="04A0" w:firstRow="1" w:lastRow="0" w:firstColumn="1" w:lastColumn="0" w:noHBand="0" w:noVBand="1"/>
      </w:tblPr>
      <w:tblGrid>
        <w:gridCol w:w="2063"/>
        <w:gridCol w:w="900"/>
        <w:gridCol w:w="920"/>
        <w:gridCol w:w="901"/>
        <w:gridCol w:w="1003"/>
        <w:gridCol w:w="1046"/>
        <w:gridCol w:w="1260"/>
        <w:gridCol w:w="1254"/>
        <w:gridCol w:w="1163"/>
      </w:tblGrid>
      <w:tr w:rsidR="000160D8" w:rsidRPr="006F7388" w:rsidTr="0006046D">
        <w:trPr>
          <w:trHeight w:val="47"/>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0160D8" w:rsidRPr="006F7388" w:rsidRDefault="000160D8" w:rsidP="0006046D">
            <w:pPr>
              <w:spacing w:after="0" w:line="240" w:lineRule="auto"/>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Mi</w:t>
            </w:r>
            <w:r w:rsidR="0006046D" w:rsidRPr="006F7388">
              <w:rPr>
                <w:rFonts w:ascii="Arial" w:eastAsia="Times New Roman" w:hAnsi="Arial" w:cs="Arial"/>
                <w:noProof/>
                <w:color w:val="000000"/>
                <w:sz w:val="18"/>
                <w:szCs w:val="18"/>
                <w:lang w:val="af-ZA" w:eastAsia="en-ZA"/>
              </w:rPr>
              <w:t>ljoen 1</w:t>
            </w:r>
            <w:r w:rsidRPr="006F7388">
              <w:rPr>
                <w:rFonts w:ascii="Arial" w:eastAsia="Times New Roman" w:hAnsi="Arial" w:cs="Arial"/>
                <w:noProof/>
                <w:color w:val="000000"/>
                <w:sz w:val="18"/>
                <w:szCs w:val="18"/>
                <w:lang w:val="af-ZA" w:eastAsia="en-ZA"/>
              </w:rPr>
              <w:t xml:space="preserve">5 Kg </w:t>
            </w:r>
            <w:r w:rsidR="0006046D" w:rsidRPr="006F7388">
              <w:rPr>
                <w:rFonts w:ascii="Arial" w:eastAsia="Times New Roman" w:hAnsi="Arial" w:cs="Arial"/>
                <w:noProof/>
                <w:color w:val="000000"/>
                <w:sz w:val="18"/>
                <w:szCs w:val="18"/>
                <w:lang w:val="af-ZA" w:eastAsia="en-ZA"/>
              </w:rPr>
              <w:t xml:space="preserve">Kartonne tot einde </w:t>
            </w:r>
            <w:r w:rsidRPr="006F7388">
              <w:rPr>
                <w:rFonts w:ascii="Arial" w:eastAsia="Times New Roman" w:hAnsi="Arial" w:cs="Arial"/>
                <w:noProof/>
                <w:color w:val="000000"/>
                <w:sz w:val="18"/>
                <w:szCs w:val="18"/>
                <w:lang w:val="af-ZA" w:eastAsia="en-ZA"/>
              </w:rPr>
              <w:t>Week 30</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6F7388" w:rsidRDefault="0006046D" w:rsidP="0006046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Gepak</w:t>
            </w:r>
          </w:p>
        </w:tc>
        <w:tc>
          <w:tcPr>
            <w:tcW w:w="920" w:type="dxa"/>
            <w:tcBorders>
              <w:top w:val="single" w:sz="4" w:space="0" w:color="auto"/>
              <w:left w:val="nil"/>
              <w:bottom w:val="single" w:sz="4" w:space="0" w:color="auto"/>
              <w:right w:val="nil"/>
            </w:tcBorders>
            <w:shd w:val="clear" w:color="000000" w:fill="D0CECE"/>
            <w:noWrap/>
            <w:vAlign w:val="center"/>
            <w:hideMark/>
          </w:tcPr>
          <w:p w:rsidR="000160D8" w:rsidRPr="006F7388" w:rsidRDefault="0006046D" w:rsidP="0006046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6F7388" w:rsidRDefault="0006046D" w:rsidP="0006046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0160D8" w:rsidRPr="006F7388" w:rsidRDefault="0006046D" w:rsidP="0006046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Verskeep</w:t>
            </w:r>
          </w:p>
        </w:tc>
        <w:tc>
          <w:tcPr>
            <w:tcW w:w="1046"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6F7388" w:rsidRDefault="0006046D" w:rsidP="0006046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0160D8" w:rsidRPr="006F7388" w:rsidRDefault="0006046D" w:rsidP="0006046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Aanvanklike Skatting</w:t>
            </w:r>
          </w:p>
        </w:tc>
        <w:tc>
          <w:tcPr>
            <w:tcW w:w="1254" w:type="dxa"/>
            <w:tcBorders>
              <w:top w:val="single" w:sz="4" w:space="0" w:color="auto"/>
              <w:left w:val="nil"/>
              <w:bottom w:val="single" w:sz="4" w:space="0" w:color="auto"/>
              <w:right w:val="single" w:sz="4" w:space="0" w:color="auto"/>
            </w:tcBorders>
            <w:shd w:val="clear" w:color="000000" w:fill="E7E6E6"/>
            <w:vAlign w:val="center"/>
            <w:hideMark/>
          </w:tcPr>
          <w:p w:rsidR="000160D8" w:rsidRPr="006F7388" w:rsidRDefault="0006046D" w:rsidP="0006046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0160D8" w:rsidRPr="006F7388" w:rsidRDefault="000160D8" w:rsidP="0006046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Fin</w:t>
            </w:r>
            <w:r w:rsidR="0006046D" w:rsidRPr="006F7388">
              <w:rPr>
                <w:rFonts w:ascii="Arial" w:eastAsia="Times New Roman" w:hAnsi="Arial" w:cs="Arial"/>
                <w:noProof/>
                <w:color w:val="000000"/>
                <w:sz w:val="18"/>
                <w:szCs w:val="18"/>
                <w:lang w:val="af-ZA" w:eastAsia="en-ZA"/>
              </w:rPr>
              <w:t>a</w:t>
            </w:r>
            <w:r w:rsidRPr="006F7388">
              <w:rPr>
                <w:rFonts w:ascii="Arial" w:eastAsia="Times New Roman" w:hAnsi="Arial" w:cs="Arial"/>
                <w:noProof/>
                <w:color w:val="000000"/>
                <w:sz w:val="18"/>
                <w:szCs w:val="18"/>
                <w:lang w:val="af-ZA" w:eastAsia="en-ZA"/>
              </w:rPr>
              <w:t xml:space="preserve">al </w:t>
            </w:r>
            <w:r w:rsidR="0006046D" w:rsidRPr="006F7388">
              <w:rPr>
                <w:rFonts w:ascii="Arial" w:eastAsia="Times New Roman" w:hAnsi="Arial" w:cs="Arial"/>
                <w:noProof/>
                <w:color w:val="000000"/>
                <w:sz w:val="18"/>
                <w:szCs w:val="18"/>
                <w:lang w:val="af-ZA" w:eastAsia="en-ZA"/>
              </w:rPr>
              <w:t>Gepak</w:t>
            </w:r>
          </w:p>
        </w:tc>
      </w:tr>
      <w:tr w:rsidR="000160D8" w:rsidRPr="006F7388" w:rsidTr="0006046D">
        <w:trPr>
          <w:trHeight w:val="23"/>
        </w:trPr>
        <w:tc>
          <w:tcPr>
            <w:tcW w:w="2063" w:type="dxa"/>
            <w:tcBorders>
              <w:top w:val="nil"/>
              <w:left w:val="single" w:sz="4" w:space="0" w:color="auto"/>
              <w:bottom w:val="single" w:sz="4" w:space="0" w:color="auto"/>
              <w:right w:val="single" w:sz="4" w:space="0" w:color="auto"/>
            </w:tcBorders>
            <w:shd w:val="clear" w:color="auto" w:fill="auto"/>
            <w:hideMark/>
          </w:tcPr>
          <w:p w:rsidR="000160D8" w:rsidRPr="006F7388" w:rsidRDefault="0006046D" w:rsidP="00A4303D">
            <w:pPr>
              <w:spacing w:after="0" w:line="240" w:lineRule="auto"/>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BRON</w:t>
            </w:r>
            <w:r w:rsidR="000160D8" w:rsidRPr="006F7388">
              <w:rPr>
                <w:rFonts w:ascii="Arial" w:eastAsia="Times New Roman" w:hAnsi="Arial" w:cs="Arial"/>
                <w:b/>
                <w:bCs/>
                <w:noProof/>
                <w:color w:val="000000"/>
                <w:sz w:val="18"/>
                <w:szCs w:val="18"/>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2018</w:t>
            </w:r>
          </w:p>
        </w:tc>
        <w:tc>
          <w:tcPr>
            <w:tcW w:w="920" w:type="dxa"/>
            <w:tcBorders>
              <w:top w:val="nil"/>
              <w:left w:val="nil"/>
              <w:bottom w:val="single" w:sz="4" w:space="0" w:color="auto"/>
              <w:right w:val="nil"/>
            </w:tcBorders>
            <w:shd w:val="clear" w:color="000000" w:fill="D0CECE"/>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2020</w:t>
            </w:r>
          </w:p>
        </w:tc>
        <w:tc>
          <w:tcPr>
            <w:tcW w:w="1003" w:type="dxa"/>
            <w:tcBorders>
              <w:top w:val="nil"/>
              <w:left w:val="nil"/>
              <w:bottom w:val="single" w:sz="4" w:space="0" w:color="auto"/>
              <w:right w:val="nil"/>
            </w:tcBorders>
            <w:shd w:val="clear" w:color="000000" w:fill="E7E6E6"/>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2019</w:t>
            </w:r>
          </w:p>
        </w:tc>
        <w:tc>
          <w:tcPr>
            <w:tcW w:w="1046" w:type="dxa"/>
            <w:tcBorders>
              <w:top w:val="nil"/>
              <w:left w:val="double" w:sz="6" w:space="0" w:color="auto"/>
              <w:bottom w:val="single" w:sz="4" w:space="0" w:color="auto"/>
              <w:right w:val="double" w:sz="6" w:space="0" w:color="auto"/>
            </w:tcBorders>
            <w:shd w:val="clear" w:color="000000" w:fill="E7E6E6"/>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2020</w:t>
            </w:r>
          </w:p>
        </w:tc>
        <w:tc>
          <w:tcPr>
            <w:tcW w:w="1254" w:type="dxa"/>
            <w:tcBorders>
              <w:top w:val="nil"/>
              <w:left w:val="nil"/>
              <w:bottom w:val="single" w:sz="4" w:space="0" w:color="auto"/>
              <w:right w:val="single" w:sz="4" w:space="0" w:color="auto"/>
            </w:tcBorders>
            <w:shd w:val="clear" w:color="000000" w:fill="E7E6E6"/>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2020</w:t>
            </w:r>
          </w:p>
        </w:tc>
        <w:tc>
          <w:tcPr>
            <w:tcW w:w="1163" w:type="dxa"/>
            <w:tcBorders>
              <w:top w:val="nil"/>
              <w:left w:val="nil"/>
              <w:bottom w:val="single" w:sz="4" w:space="0" w:color="auto"/>
              <w:right w:val="single" w:sz="4" w:space="0" w:color="auto"/>
            </w:tcBorders>
            <w:shd w:val="clear" w:color="000000" w:fill="E7E6E6"/>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2019</w:t>
            </w:r>
          </w:p>
        </w:tc>
      </w:tr>
      <w:tr w:rsidR="000160D8" w:rsidRPr="006F7388" w:rsidTr="0006046D">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0160D8" w:rsidRPr="006F7388" w:rsidRDefault="0006046D" w:rsidP="00A4303D">
            <w:pPr>
              <w:spacing w:after="0" w:line="240" w:lineRule="auto"/>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Pomelo’s</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18.3 m</w:t>
            </w:r>
          </w:p>
        </w:tc>
        <w:tc>
          <w:tcPr>
            <w:tcW w:w="920" w:type="dxa"/>
            <w:tcBorders>
              <w:top w:val="nil"/>
              <w:left w:val="nil"/>
              <w:bottom w:val="single" w:sz="4" w:space="0" w:color="auto"/>
              <w:right w:val="nil"/>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14.3 m</w:t>
            </w:r>
          </w:p>
        </w:tc>
        <w:tc>
          <w:tcPr>
            <w:tcW w:w="1003" w:type="dxa"/>
            <w:tcBorders>
              <w:top w:val="nil"/>
              <w:left w:val="nil"/>
              <w:bottom w:val="single" w:sz="4" w:space="0" w:color="auto"/>
              <w:right w:val="nil"/>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13.3 m</w:t>
            </w:r>
          </w:p>
        </w:tc>
        <w:tc>
          <w:tcPr>
            <w:tcW w:w="1046" w:type="dxa"/>
            <w:tcBorders>
              <w:top w:val="nil"/>
              <w:left w:val="double" w:sz="6" w:space="0" w:color="auto"/>
              <w:bottom w:val="single" w:sz="4" w:space="0" w:color="auto"/>
              <w:right w:val="double" w:sz="6"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13.1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16.7 m</w:t>
            </w:r>
          </w:p>
        </w:tc>
        <w:tc>
          <w:tcPr>
            <w:tcW w:w="1254"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bCs/>
                <w:noProof/>
                <w:color w:val="000000"/>
                <w:sz w:val="18"/>
                <w:szCs w:val="18"/>
                <w:lang w:val="af-ZA" w:eastAsia="en-ZA"/>
              </w:rPr>
            </w:pPr>
            <w:r w:rsidRPr="006F7388">
              <w:rPr>
                <w:rFonts w:ascii="Arial" w:eastAsia="Times New Roman" w:hAnsi="Arial" w:cs="Arial"/>
                <w:bCs/>
                <w:noProof/>
                <w:sz w:val="18"/>
                <w:szCs w:val="18"/>
                <w:lang w:val="af-ZA" w:eastAsia="en-ZA"/>
              </w:rPr>
              <w:t>15.1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bCs/>
                <w:noProof/>
                <w:color w:val="000000"/>
                <w:sz w:val="18"/>
                <w:szCs w:val="18"/>
                <w:lang w:val="af-ZA" w:eastAsia="en-ZA"/>
              </w:rPr>
            </w:pPr>
            <w:r w:rsidRPr="006F7388">
              <w:rPr>
                <w:rFonts w:ascii="Arial" w:eastAsia="Times New Roman" w:hAnsi="Arial" w:cs="Arial"/>
                <w:bCs/>
                <w:noProof/>
                <w:sz w:val="18"/>
                <w:szCs w:val="18"/>
                <w:lang w:val="af-ZA" w:eastAsia="en-ZA"/>
              </w:rPr>
              <w:t>16.1 m</w:t>
            </w:r>
          </w:p>
        </w:tc>
      </w:tr>
      <w:tr w:rsidR="000160D8" w:rsidRPr="006F7388" w:rsidTr="0006046D">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0160D8" w:rsidRPr="006F7388" w:rsidRDefault="000160D8" w:rsidP="0006046D">
            <w:pPr>
              <w:spacing w:after="0" w:line="240" w:lineRule="auto"/>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S</w:t>
            </w:r>
            <w:r w:rsidR="0006046D" w:rsidRPr="006F7388">
              <w:rPr>
                <w:rFonts w:ascii="Arial" w:eastAsia="Times New Roman" w:hAnsi="Arial" w:cs="Arial"/>
                <w:noProof/>
                <w:color w:val="000000"/>
                <w:sz w:val="18"/>
                <w:szCs w:val="18"/>
                <w:lang w:val="af-ZA" w:eastAsia="en-ZA"/>
              </w:rPr>
              <w:t>agte Sitrus</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12.1 m</w:t>
            </w:r>
          </w:p>
        </w:tc>
        <w:tc>
          <w:tcPr>
            <w:tcW w:w="920" w:type="dxa"/>
            <w:tcBorders>
              <w:top w:val="nil"/>
              <w:left w:val="nil"/>
              <w:bottom w:val="single" w:sz="4" w:space="0" w:color="auto"/>
              <w:right w:val="nil"/>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13.4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17.5 m</w:t>
            </w:r>
          </w:p>
        </w:tc>
        <w:tc>
          <w:tcPr>
            <w:tcW w:w="1003" w:type="dxa"/>
            <w:tcBorders>
              <w:top w:val="nil"/>
              <w:left w:val="nil"/>
              <w:bottom w:val="single" w:sz="4" w:space="0" w:color="auto"/>
              <w:right w:val="nil"/>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10.8 m</w:t>
            </w:r>
          </w:p>
        </w:tc>
        <w:tc>
          <w:tcPr>
            <w:tcW w:w="1046" w:type="dxa"/>
            <w:tcBorders>
              <w:top w:val="nil"/>
              <w:left w:val="double" w:sz="6" w:space="0" w:color="auto"/>
              <w:bottom w:val="single" w:sz="4" w:space="0" w:color="auto"/>
              <w:right w:val="double" w:sz="6"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14.5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23.3 m</w:t>
            </w:r>
          </w:p>
        </w:tc>
        <w:tc>
          <w:tcPr>
            <w:tcW w:w="1254"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FF0000"/>
                <w:sz w:val="18"/>
                <w:szCs w:val="18"/>
                <w:lang w:val="af-ZA" w:eastAsia="en-ZA"/>
              </w:rPr>
            </w:pPr>
            <w:r w:rsidRPr="006F7388">
              <w:rPr>
                <w:rFonts w:ascii="Arial" w:eastAsia="Times New Roman" w:hAnsi="Arial" w:cs="Arial"/>
                <w:noProof/>
                <w:sz w:val="18"/>
                <w:szCs w:val="18"/>
                <w:lang w:val="af-ZA" w:eastAsia="en-ZA"/>
              </w:rPr>
              <w:t>22.8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FF0000"/>
                <w:sz w:val="18"/>
                <w:szCs w:val="18"/>
                <w:lang w:val="af-ZA" w:eastAsia="en-ZA"/>
              </w:rPr>
            </w:pPr>
            <w:r w:rsidRPr="006F7388">
              <w:rPr>
                <w:rFonts w:ascii="Arial" w:eastAsia="Times New Roman" w:hAnsi="Arial" w:cs="Arial"/>
                <w:noProof/>
                <w:sz w:val="18"/>
                <w:szCs w:val="18"/>
                <w:lang w:val="af-ZA" w:eastAsia="en-ZA"/>
              </w:rPr>
              <w:t>18.3 m</w:t>
            </w:r>
          </w:p>
        </w:tc>
      </w:tr>
      <w:tr w:rsidR="000160D8" w:rsidRPr="006F7388" w:rsidTr="0006046D">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0160D8" w:rsidRPr="006F7388" w:rsidRDefault="0006046D" w:rsidP="00A4303D">
            <w:pPr>
              <w:spacing w:after="0" w:line="240" w:lineRule="auto"/>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Suurlemoene</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16.4 m</w:t>
            </w:r>
          </w:p>
        </w:tc>
        <w:tc>
          <w:tcPr>
            <w:tcW w:w="920" w:type="dxa"/>
            <w:tcBorders>
              <w:top w:val="nil"/>
              <w:left w:val="nil"/>
              <w:bottom w:val="single" w:sz="4" w:space="0" w:color="auto"/>
              <w:right w:val="nil"/>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18.5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24.3 m</w:t>
            </w:r>
          </w:p>
        </w:tc>
        <w:tc>
          <w:tcPr>
            <w:tcW w:w="1003" w:type="dxa"/>
            <w:tcBorders>
              <w:top w:val="nil"/>
              <w:left w:val="nil"/>
              <w:bottom w:val="single" w:sz="4" w:space="0" w:color="auto"/>
              <w:right w:val="nil"/>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14 m</w:t>
            </w:r>
          </w:p>
        </w:tc>
        <w:tc>
          <w:tcPr>
            <w:tcW w:w="1046" w:type="dxa"/>
            <w:tcBorders>
              <w:top w:val="nil"/>
              <w:left w:val="double" w:sz="6" w:space="0" w:color="auto"/>
              <w:bottom w:val="single" w:sz="4" w:space="0" w:color="auto"/>
              <w:right w:val="double" w:sz="6"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19.7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26.4 m</w:t>
            </w:r>
          </w:p>
        </w:tc>
        <w:tc>
          <w:tcPr>
            <w:tcW w:w="1254"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bCs/>
                <w:noProof/>
                <w:color w:val="FF0000"/>
                <w:sz w:val="18"/>
                <w:szCs w:val="18"/>
                <w:lang w:val="af-ZA" w:eastAsia="en-ZA"/>
              </w:rPr>
            </w:pPr>
            <w:r w:rsidRPr="006F7388">
              <w:rPr>
                <w:rFonts w:ascii="Arial" w:eastAsia="Times New Roman" w:hAnsi="Arial" w:cs="Arial"/>
                <w:bCs/>
                <w:noProof/>
                <w:sz w:val="18"/>
                <w:szCs w:val="18"/>
                <w:lang w:val="af-ZA" w:eastAsia="en-ZA"/>
              </w:rPr>
              <w:t>26.7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bCs/>
                <w:noProof/>
                <w:color w:val="000000"/>
                <w:sz w:val="18"/>
                <w:szCs w:val="18"/>
                <w:lang w:val="af-ZA" w:eastAsia="en-ZA"/>
              </w:rPr>
            </w:pPr>
            <w:r w:rsidRPr="006F7388">
              <w:rPr>
                <w:rFonts w:ascii="Arial" w:eastAsia="Times New Roman" w:hAnsi="Arial" w:cs="Arial"/>
                <w:bCs/>
                <w:noProof/>
                <w:sz w:val="18"/>
                <w:szCs w:val="18"/>
                <w:lang w:val="af-ZA" w:eastAsia="en-ZA"/>
              </w:rPr>
              <w:t>22.1 m</w:t>
            </w:r>
          </w:p>
        </w:tc>
      </w:tr>
      <w:tr w:rsidR="000160D8" w:rsidRPr="006F7388" w:rsidTr="0006046D">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0160D8" w:rsidRPr="006F7388" w:rsidRDefault="0006046D" w:rsidP="00A4303D">
            <w:pPr>
              <w:spacing w:after="0" w:line="240" w:lineRule="auto"/>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Naw</w:t>
            </w:r>
            <w:r w:rsidR="000160D8" w:rsidRPr="006F7388">
              <w:rPr>
                <w:rFonts w:ascii="Arial" w:eastAsia="Times New Roman" w:hAnsi="Arial" w:cs="Arial"/>
                <w:noProof/>
                <w:color w:val="000000"/>
                <w:sz w:val="18"/>
                <w:szCs w:val="18"/>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22.6 m</w:t>
            </w:r>
          </w:p>
        </w:tc>
        <w:tc>
          <w:tcPr>
            <w:tcW w:w="920" w:type="dxa"/>
            <w:tcBorders>
              <w:top w:val="nil"/>
              <w:left w:val="nil"/>
              <w:bottom w:val="single" w:sz="4" w:space="0" w:color="auto"/>
              <w:right w:val="nil"/>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19.3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6F7388" w:rsidRDefault="000160D8" w:rsidP="00A4303D">
            <w:pPr>
              <w:spacing w:after="0" w:line="240" w:lineRule="auto"/>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21.4 m</w:t>
            </w:r>
          </w:p>
        </w:tc>
        <w:tc>
          <w:tcPr>
            <w:tcW w:w="1003" w:type="dxa"/>
            <w:tcBorders>
              <w:top w:val="nil"/>
              <w:left w:val="nil"/>
              <w:bottom w:val="single" w:sz="4" w:space="0" w:color="auto"/>
              <w:right w:val="nil"/>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15 m</w:t>
            </w:r>
          </w:p>
        </w:tc>
        <w:tc>
          <w:tcPr>
            <w:tcW w:w="1046" w:type="dxa"/>
            <w:tcBorders>
              <w:top w:val="nil"/>
              <w:left w:val="double" w:sz="6" w:space="0" w:color="auto"/>
              <w:bottom w:val="single" w:sz="4" w:space="0" w:color="auto"/>
              <w:right w:val="double" w:sz="6"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17.6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26.5 m</w:t>
            </w:r>
          </w:p>
        </w:tc>
        <w:tc>
          <w:tcPr>
            <w:tcW w:w="1254"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themeColor="text1"/>
                <w:sz w:val="18"/>
                <w:szCs w:val="18"/>
                <w:lang w:val="af-ZA" w:eastAsia="en-ZA"/>
              </w:rPr>
            </w:pPr>
            <w:r w:rsidRPr="006F7388">
              <w:rPr>
                <w:rFonts w:ascii="Arial" w:eastAsia="Times New Roman" w:hAnsi="Arial" w:cs="Arial"/>
                <w:noProof/>
                <w:color w:val="000000" w:themeColor="text1"/>
                <w:sz w:val="18"/>
                <w:szCs w:val="18"/>
                <w:lang w:val="af-ZA" w:eastAsia="en-ZA"/>
              </w:rPr>
              <w:t>26.4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sz w:val="18"/>
                <w:szCs w:val="18"/>
                <w:lang w:val="af-ZA" w:eastAsia="en-ZA"/>
              </w:rPr>
              <w:t>24.3 m</w:t>
            </w:r>
          </w:p>
        </w:tc>
      </w:tr>
      <w:tr w:rsidR="000160D8" w:rsidRPr="006F7388" w:rsidTr="0006046D">
        <w:trPr>
          <w:trHeight w:val="23"/>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0160D8" w:rsidRPr="006F7388" w:rsidRDefault="000160D8" w:rsidP="00A4303D">
            <w:pPr>
              <w:spacing w:after="0" w:line="240" w:lineRule="auto"/>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Valencia</w:t>
            </w:r>
            <w:r w:rsidR="0006046D" w:rsidRPr="006F7388">
              <w:rPr>
                <w:rFonts w:ascii="Arial" w:eastAsia="Times New Roman" w:hAnsi="Arial" w:cs="Arial"/>
                <w:noProof/>
                <w:color w:val="000000"/>
                <w:sz w:val="18"/>
                <w:szCs w:val="18"/>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15.3 m</w:t>
            </w:r>
          </w:p>
        </w:tc>
        <w:tc>
          <w:tcPr>
            <w:tcW w:w="920" w:type="dxa"/>
            <w:tcBorders>
              <w:top w:val="nil"/>
              <w:left w:val="nil"/>
              <w:bottom w:val="single" w:sz="4" w:space="0" w:color="auto"/>
              <w:right w:val="nil"/>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19.7 m</w:t>
            </w:r>
          </w:p>
        </w:tc>
        <w:tc>
          <w:tcPr>
            <w:tcW w:w="1003" w:type="dxa"/>
            <w:tcBorders>
              <w:top w:val="nil"/>
              <w:left w:val="nil"/>
              <w:bottom w:val="single" w:sz="4" w:space="0" w:color="auto"/>
              <w:right w:val="nil"/>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9.2 m</w:t>
            </w:r>
          </w:p>
        </w:tc>
        <w:tc>
          <w:tcPr>
            <w:tcW w:w="1046" w:type="dxa"/>
            <w:tcBorders>
              <w:top w:val="nil"/>
              <w:left w:val="double" w:sz="6" w:space="0" w:color="auto"/>
              <w:bottom w:val="single" w:sz="4" w:space="0" w:color="auto"/>
              <w:right w:val="double" w:sz="6"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11.7 m</w:t>
            </w:r>
          </w:p>
        </w:tc>
        <w:tc>
          <w:tcPr>
            <w:tcW w:w="1260"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color w:val="000000"/>
                <w:sz w:val="18"/>
                <w:szCs w:val="18"/>
                <w:lang w:val="af-ZA" w:eastAsia="en-ZA"/>
              </w:rPr>
            </w:pPr>
            <w:r w:rsidRPr="006F7388">
              <w:rPr>
                <w:rFonts w:ascii="Arial" w:eastAsia="Times New Roman" w:hAnsi="Arial" w:cs="Arial"/>
                <w:noProof/>
                <w:color w:val="000000"/>
                <w:sz w:val="18"/>
                <w:szCs w:val="18"/>
                <w:lang w:val="af-ZA" w:eastAsia="en-ZA"/>
              </w:rPr>
              <w:t>50.4 m</w:t>
            </w:r>
          </w:p>
        </w:tc>
        <w:tc>
          <w:tcPr>
            <w:tcW w:w="1254"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b/>
                <w:noProof/>
                <w:color w:val="000000" w:themeColor="text1"/>
                <w:sz w:val="18"/>
                <w:szCs w:val="18"/>
                <w:lang w:val="af-ZA" w:eastAsia="en-ZA"/>
              </w:rPr>
            </w:pPr>
            <w:r w:rsidRPr="006F7388">
              <w:rPr>
                <w:rFonts w:ascii="Arial" w:eastAsia="Times New Roman" w:hAnsi="Arial" w:cs="Arial"/>
                <w:b/>
                <w:noProof/>
                <w:color w:val="FF0000"/>
                <w:sz w:val="18"/>
                <w:szCs w:val="18"/>
                <w:lang w:val="af-ZA" w:eastAsia="en-ZA"/>
              </w:rPr>
              <w:t>47.9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6F7388" w:rsidRDefault="000160D8" w:rsidP="00A4303D">
            <w:pPr>
              <w:spacing w:after="0" w:line="240" w:lineRule="auto"/>
              <w:jc w:val="center"/>
              <w:rPr>
                <w:rFonts w:ascii="Arial" w:eastAsia="Times New Roman" w:hAnsi="Arial" w:cs="Arial"/>
                <w:noProof/>
                <w:sz w:val="18"/>
                <w:szCs w:val="18"/>
                <w:lang w:val="af-ZA" w:eastAsia="en-ZA"/>
              </w:rPr>
            </w:pPr>
            <w:r w:rsidRPr="006F7388">
              <w:rPr>
                <w:rFonts w:ascii="Arial" w:eastAsia="Times New Roman" w:hAnsi="Arial" w:cs="Arial"/>
                <w:noProof/>
                <w:sz w:val="18"/>
                <w:szCs w:val="18"/>
                <w:lang w:val="af-ZA" w:eastAsia="en-ZA"/>
              </w:rPr>
              <w:t>46.8 m</w:t>
            </w:r>
          </w:p>
        </w:tc>
      </w:tr>
      <w:tr w:rsidR="000160D8" w:rsidRPr="006F7388" w:rsidTr="0006046D">
        <w:trPr>
          <w:trHeight w:val="25"/>
        </w:trPr>
        <w:tc>
          <w:tcPr>
            <w:tcW w:w="2063" w:type="dxa"/>
            <w:tcBorders>
              <w:top w:val="nil"/>
              <w:left w:val="single" w:sz="4" w:space="0" w:color="auto"/>
              <w:bottom w:val="single" w:sz="4" w:space="0" w:color="auto"/>
              <w:right w:val="single" w:sz="4" w:space="0" w:color="auto"/>
            </w:tcBorders>
            <w:shd w:val="clear" w:color="000000" w:fill="A6A6A6"/>
            <w:vAlign w:val="center"/>
            <w:hideMark/>
          </w:tcPr>
          <w:p w:rsidR="000160D8" w:rsidRPr="006F7388" w:rsidRDefault="000160D8" w:rsidP="00A4303D">
            <w:pPr>
              <w:spacing w:after="0" w:line="240" w:lineRule="auto"/>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Tot</w:t>
            </w:r>
            <w:r w:rsidR="0006046D" w:rsidRPr="006F7388">
              <w:rPr>
                <w:rFonts w:ascii="Arial" w:eastAsia="Times New Roman" w:hAnsi="Arial" w:cs="Arial"/>
                <w:b/>
                <w:bCs/>
                <w:noProof/>
                <w:color w:val="000000"/>
                <w:sz w:val="18"/>
                <w:szCs w:val="18"/>
                <w:lang w:val="af-ZA" w:eastAsia="en-ZA"/>
              </w:rPr>
              <w:t>a</w:t>
            </w:r>
            <w:r w:rsidRPr="006F7388">
              <w:rPr>
                <w:rFonts w:ascii="Arial" w:eastAsia="Times New Roman" w:hAnsi="Arial" w:cs="Arial"/>
                <w:b/>
                <w:bCs/>
                <w:noProof/>
                <w:color w:val="000000"/>
                <w:sz w:val="18"/>
                <w:szCs w:val="18"/>
                <w:lang w:val="af-ZA" w:eastAsia="en-ZA"/>
              </w:rPr>
              <w:t>al</w:t>
            </w:r>
          </w:p>
        </w:tc>
        <w:tc>
          <w:tcPr>
            <w:tcW w:w="900" w:type="dxa"/>
            <w:tcBorders>
              <w:top w:val="nil"/>
              <w:left w:val="nil"/>
              <w:bottom w:val="single" w:sz="4" w:space="0" w:color="auto"/>
              <w:right w:val="single" w:sz="4" w:space="0" w:color="auto"/>
            </w:tcBorders>
            <w:shd w:val="clear" w:color="000000" w:fill="A6A6A6"/>
            <w:vAlign w:val="center"/>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84.7 m</w:t>
            </w:r>
          </w:p>
        </w:tc>
        <w:tc>
          <w:tcPr>
            <w:tcW w:w="920" w:type="dxa"/>
            <w:tcBorders>
              <w:top w:val="nil"/>
              <w:left w:val="nil"/>
              <w:bottom w:val="single" w:sz="4" w:space="0" w:color="auto"/>
              <w:right w:val="nil"/>
            </w:tcBorders>
            <w:shd w:val="clear" w:color="000000" w:fill="A6A6A6"/>
            <w:vAlign w:val="center"/>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82.2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97.2 m</w:t>
            </w:r>
          </w:p>
        </w:tc>
        <w:tc>
          <w:tcPr>
            <w:tcW w:w="1003" w:type="dxa"/>
            <w:tcBorders>
              <w:top w:val="nil"/>
              <w:left w:val="nil"/>
              <w:bottom w:val="single" w:sz="4" w:space="0" w:color="auto"/>
              <w:right w:val="nil"/>
            </w:tcBorders>
            <w:shd w:val="clear" w:color="000000" w:fill="A6A6A6"/>
            <w:vAlign w:val="center"/>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62.3 m</w:t>
            </w:r>
          </w:p>
        </w:tc>
        <w:tc>
          <w:tcPr>
            <w:tcW w:w="1046" w:type="dxa"/>
            <w:tcBorders>
              <w:top w:val="nil"/>
              <w:left w:val="double" w:sz="6" w:space="0" w:color="auto"/>
              <w:bottom w:val="double" w:sz="6" w:space="0" w:color="auto"/>
              <w:right w:val="double" w:sz="6" w:space="0" w:color="auto"/>
            </w:tcBorders>
            <w:shd w:val="clear" w:color="000000" w:fill="A6A6A6"/>
            <w:vAlign w:val="center"/>
            <w:hideMark/>
          </w:tcPr>
          <w:p w:rsidR="000160D8" w:rsidRPr="006F7388" w:rsidRDefault="000160D8" w:rsidP="00A4303D">
            <w:pPr>
              <w:spacing w:after="0" w:line="240" w:lineRule="auto"/>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 xml:space="preserve"> 76.6 m</w:t>
            </w:r>
          </w:p>
        </w:tc>
        <w:tc>
          <w:tcPr>
            <w:tcW w:w="1260" w:type="dxa"/>
            <w:tcBorders>
              <w:top w:val="nil"/>
              <w:left w:val="nil"/>
              <w:bottom w:val="single" w:sz="4" w:space="0" w:color="auto"/>
              <w:right w:val="single" w:sz="4" w:space="0" w:color="auto"/>
            </w:tcBorders>
            <w:shd w:val="clear" w:color="000000" w:fill="A6A6A6"/>
            <w:vAlign w:val="center"/>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143.3 m</w:t>
            </w:r>
          </w:p>
        </w:tc>
        <w:tc>
          <w:tcPr>
            <w:tcW w:w="1254" w:type="dxa"/>
            <w:tcBorders>
              <w:top w:val="nil"/>
              <w:left w:val="nil"/>
              <w:bottom w:val="single" w:sz="4" w:space="0" w:color="auto"/>
              <w:right w:val="single" w:sz="4" w:space="0" w:color="auto"/>
            </w:tcBorders>
            <w:shd w:val="clear" w:color="000000" w:fill="A6A6A6"/>
            <w:vAlign w:val="center"/>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138.9 m</w:t>
            </w:r>
          </w:p>
        </w:tc>
        <w:tc>
          <w:tcPr>
            <w:tcW w:w="1163" w:type="dxa"/>
            <w:tcBorders>
              <w:top w:val="nil"/>
              <w:left w:val="nil"/>
              <w:bottom w:val="single" w:sz="4" w:space="0" w:color="auto"/>
              <w:right w:val="single" w:sz="4" w:space="0" w:color="auto"/>
            </w:tcBorders>
            <w:shd w:val="clear" w:color="000000" w:fill="A6A6A6"/>
            <w:vAlign w:val="center"/>
            <w:hideMark/>
          </w:tcPr>
          <w:p w:rsidR="000160D8" w:rsidRPr="006F7388" w:rsidRDefault="000160D8" w:rsidP="00A4303D">
            <w:pPr>
              <w:spacing w:after="0" w:line="240" w:lineRule="auto"/>
              <w:jc w:val="center"/>
              <w:rPr>
                <w:rFonts w:ascii="Arial" w:eastAsia="Times New Roman" w:hAnsi="Arial" w:cs="Arial"/>
                <w:b/>
                <w:bCs/>
                <w:noProof/>
                <w:color w:val="000000"/>
                <w:sz w:val="18"/>
                <w:szCs w:val="18"/>
                <w:lang w:val="af-ZA" w:eastAsia="en-ZA"/>
              </w:rPr>
            </w:pPr>
            <w:r w:rsidRPr="006F7388">
              <w:rPr>
                <w:rFonts w:ascii="Arial" w:eastAsia="Times New Roman" w:hAnsi="Arial" w:cs="Arial"/>
                <w:b/>
                <w:bCs/>
                <w:noProof/>
                <w:color w:val="000000"/>
                <w:sz w:val="18"/>
                <w:szCs w:val="18"/>
                <w:lang w:val="af-ZA" w:eastAsia="en-ZA"/>
              </w:rPr>
              <w:t>127.5 m</w:t>
            </w:r>
          </w:p>
        </w:tc>
      </w:tr>
    </w:tbl>
    <w:p w:rsidR="000160D8" w:rsidRPr="00AC513C" w:rsidRDefault="000160D8" w:rsidP="006F7388">
      <w:pPr>
        <w:spacing w:after="0"/>
        <w:rPr>
          <w:rFonts w:ascii="Arial" w:eastAsia="Times New Roman" w:hAnsi="Arial" w:cs="Arial"/>
          <w:b/>
          <w:noProof/>
          <w:color w:val="2F5496" w:themeColor="accent5" w:themeShade="BF"/>
          <w:sz w:val="20"/>
          <w:szCs w:val="20"/>
          <w:u w:val="single"/>
          <w:lang w:val="af-ZA"/>
        </w:rPr>
      </w:pPr>
    </w:p>
    <w:sectPr w:rsidR="000160D8" w:rsidRPr="00AC513C" w:rsidSect="005859D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30" w:rsidRDefault="00C74530" w:rsidP="00595E08">
      <w:pPr>
        <w:spacing w:after="0" w:line="240" w:lineRule="auto"/>
      </w:pPr>
      <w:r>
        <w:separator/>
      </w:r>
    </w:p>
  </w:endnote>
  <w:endnote w:type="continuationSeparator" w:id="0">
    <w:p w:rsidR="00C74530" w:rsidRDefault="00C7453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6D" w:rsidRPr="006F7388" w:rsidRDefault="0006046D" w:rsidP="0006046D">
    <w:pPr>
      <w:pStyle w:val="Footer"/>
      <w:jc w:val="center"/>
      <w:rPr>
        <w:rFonts w:asciiTheme="minorHAnsi" w:eastAsia="Times New Roman" w:hAnsiTheme="minorHAnsi" w:cstheme="minorHAnsi"/>
        <w:sz w:val="20"/>
        <w:szCs w:val="20"/>
        <w:lang w:val="en-US"/>
      </w:rPr>
    </w:pPr>
    <w:r w:rsidRPr="006F7388">
      <w:rPr>
        <w:rFonts w:asciiTheme="minorBidi" w:hAnsiTheme="minorBidi" w:cstheme="minorBidi"/>
        <w:b/>
        <w:bCs/>
        <w:color w:val="FF0066"/>
        <w:sz w:val="16"/>
        <w:szCs w:val="16"/>
      </w:rPr>
      <w:t>CGA GROEP MAATSKAPPYE (CRI, RIVIER BIOSCIENCE, XSIT, CGA CULTIVAR COMPANY,</w:t>
    </w:r>
    <w:r w:rsidRPr="006F7388">
      <w:rPr>
        <w:rFonts w:asciiTheme="minorBidi" w:hAnsiTheme="minorBidi" w:cstheme="minorBidi"/>
        <w:b/>
        <w:color w:val="FF0066"/>
        <w:sz w:val="16"/>
        <w:szCs w:val="16"/>
      </w:rPr>
      <w:t xml:space="preserve"> CGA GROWER DEVELOPMENT COMPANY &amp; CITRUS ACADEMY</w:t>
    </w:r>
    <w:r w:rsidRPr="006F7388">
      <w:rPr>
        <w:rFonts w:asciiTheme="minorBidi" w:hAnsiTheme="minorBidi" w:cstheme="minorBidi"/>
        <w:b/>
        <w:bCs/>
        <w:color w:val="FF0066"/>
        <w:sz w:val="16"/>
        <w:szCs w:val="16"/>
      </w:rPr>
      <w:t>) WORD DEUR SUIDER-AFRIKA SE SITRUSPRODUSENTE BEFONDS</w:t>
    </w:r>
  </w:p>
  <w:p w:rsidR="00595E08" w:rsidRPr="006F7388" w:rsidRDefault="00595E08" w:rsidP="0006046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30" w:rsidRDefault="00C74530" w:rsidP="00595E08">
      <w:pPr>
        <w:spacing w:after="0" w:line="240" w:lineRule="auto"/>
      </w:pPr>
      <w:r>
        <w:separator/>
      </w:r>
    </w:p>
  </w:footnote>
  <w:footnote w:type="continuationSeparator" w:id="0">
    <w:p w:rsidR="00C74530" w:rsidRDefault="00C74530"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0D8"/>
    <w:rsid w:val="00016153"/>
    <w:rsid w:val="00016FBA"/>
    <w:rsid w:val="00031C21"/>
    <w:rsid w:val="00040706"/>
    <w:rsid w:val="00045FE2"/>
    <w:rsid w:val="00047EA1"/>
    <w:rsid w:val="000503D8"/>
    <w:rsid w:val="00051AA5"/>
    <w:rsid w:val="0006046D"/>
    <w:rsid w:val="00070D40"/>
    <w:rsid w:val="00071AF5"/>
    <w:rsid w:val="0008376F"/>
    <w:rsid w:val="000972D3"/>
    <w:rsid w:val="000A258A"/>
    <w:rsid w:val="000A2A31"/>
    <w:rsid w:val="000A2F5C"/>
    <w:rsid w:val="000A39E7"/>
    <w:rsid w:val="000A53FE"/>
    <w:rsid w:val="000A7AE7"/>
    <w:rsid w:val="000B1C65"/>
    <w:rsid w:val="000B24CA"/>
    <w:rsid w:val="000C2719"/>
    <w:rsid w:val="000C4E72"/>
    <w:rsid w:val="000D074C"/>
    <w:rsid w:val="000D1876"/>
    <w:rsid w:val="000D2F64"/>
    <w:rsid w:val="000D5C49"/>
    <w:rsid w:val="000D629E"/>
    <w:rsid w:val="000D7425"/>
    <w:rsid w:val="000E00B2"/>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3AAF"/>
    <w:rsid w:val="00183BBB"/>
    <w:rsid w:val="00185357"/>
    <w:rsid w:val="00190EE1"/>
    <w:rsid w:val="001A29BD"/>
    <w:rsid w:val="001B1783"/>
    <w:rsid w:val="001B203D"/>
    <w:rsid w:val="001B3B4C"/>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5CD3"/>
    <w:rsid w:val="0030169A"/>
    <w:rsid w:val="00313CB1"/>
    <w:rsid w:val="00325D4E"/>
    <w:rsid w:val="00327DD9"/>
    <w:rsid w:val="00337B83"/>
    <w:rsid w:val="003419E0"/>
    <w:rsid w:val="003474D9"/>
    <w:rsid w:val="00352FAF"/>
    <w:rsid w:val="00361403"/>
    <w:rsid w:val="003624E4"/>
    <w:rsid w:val="00365139"/>
    <w:rsid w:val="00376FDD"/>
    <w:rsid w:val="00391BCA"/>
    <w:rsid w:val="003959C7"/>
    <w:rsid w:val="003B09E4"/>
    <w:rsid w:val="003B2EC4"/>
    <w:rsid w:val="003B3CE2"/>
    <w:rsid w:val="003B7DEC"/>
    <w:rsid w:val="003C0D53"/>
    <w:rsid w:val="003C27D4"/>
    <w:rsid w:val="003D193B"/>
    <w:rsid w:val="003D47B0"/>
    <w:rsid w:val="003D70AB"/>
    <w:rsid w:val="003E2F05"/>
    <w:rsid w:val="003F042E"/>
    <w:rsid w:val="003F0C6F"/>
    <w:rsid w:val="003F2574"/>
    <w:rsid w:val="003F5F69"/>
    <w:rsid w:val="003F6E31"/>
    <w:rsid w:val="003F7804"/>
    <w:rsid w:val="00402546"/>
    <w:rsid w:val="004046F2"/>
    <w:rsid w:val="0040634F"/>
    <w:rsid w:val="004101A7"/>
    <w:rsid w:val="00417E8D"/>
    <w:rsid w:val="00426110"/>
    <w:rsid w:val="00430E5F"/>
    <w:rsid w:val="0043300C"/>
    <w:rsid w:val="00444A65"/>
    <w:rsid w:val="00445B61"/>
    <w:rsid w:val="00452062"/>
    <w:rsid w:val="00455927"/>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3361"/>
    <w:rsid w:val="004E60FC"/>
    <w:rsid w:val="004F5F57"/>
    <w:rsid w:val="00500834"/>
    <w:rsid w:val="00502EEB"/>
    <w:rsid w:val="0050561C"/>
    <w:rsid w:val="00505C06"/>
    <w:rsid w:val="00526601"/>
    <w:rsid w:val="00527036"/>
    <w:rsid w:val="005330E2"/>
    <w:rsid w:val="005350A0"/>
    <w:rsid w:val="005369A5"/>
    <w:rsid w:val="00536B64"/>
    <w:rsid w:val="00540A3E"/>
    <w:rsid w:val="00541EB1"/>
    <w:rsid w:val="00546152"/>
    <w:rsid w:val="00547C6C"/>
    <w:rsid w:val="0055135A"/>
    <w:rsid w:val="00554C86"/>
    <w:rsid w:val="00562B1F"/>
    <w:rsid w:val="00566C56"/>
    <w:rsid w:val="00571F19"/>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C4045"/>
    <w:rsid w:val="005D2FE9"/>
    <w:rsid w:val="005E05EF"/>
    <w:rsid w:val="005E29B8"/>
    <w:rsid w:val="005E62DC"/>
    <w:rsid w:val="005F2989"/>
    <w:rsid w:val="005F4137"/>
    <w:rsid w:val="00600B79"/>
    <w:rsid w:val="00601C02"/>
    <w:rsid w:val="006042E1"/>
    <w:rsid w:val="006054BC"/>
    <w:rsid w:val="0060714A"/>
    <w:rsid w:val="00611C22"/>
    <w:rsid w:val="00612231"/>
    <w:rsid w:val="00613228"/>
    <w:rsid w:val="006254FA"/>
    <w:rsid w:val="006302CB"/>
    <w:rsid w:val="00633A15"/>
    <w:rsid w:val="0063644A"/>
    <w:rsid w:val="006412FF"/>
    <w:rsid w:val="00641661"/>
    <w:rsid w:val="0064682B"/>
    <w:rsid w:val="00663769"/>
    <w:rsid w:val="00664C26"/>
    <w:rsid w:val="00664D15"/>
    <w:rsid w:val="00670FBB"/>
    <w:rsid w:val="0067189B"/>
    <w:rsid w:val="00680744"/>
    <w:rsid w:val="006832EE"/>
    <w:rsid w:val="006852F9"/>
    <w:rsid w:val="006877D8"/>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F43EB"/>
    <w:rsid w:val="006F7388"/>
    <w:rsid w:val="00705032"/>
    <w:rsid w:val="00705569"/>
    <w:rsid w:val="007117F8"/>
    <w:rsid w:val="007264AE"/>
    <w:rsid w:val="00727A05"/>
    <w:rsid w:val="007306EF"/>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2048"/>
    <w:rsid w:val="007E360C"/>
    <w:rsid w:val="007E6B47"/>
    <w:rsid w:val="007E75E8"/>
    <w:rsid w:val="007F2B55"/>
    <w:rsid w:val="0080658C"/>
    <w:rsid w:val="00812078"/>
    <w:rsid w:val="0081352C"/>
    <w:rsid w:val="00823F18"/>
    <w:rsid w:val="00830C8C"/>
    <w:rsid w:val="00836320"/>
    <w:rsid w:val="008421EA"/>
    <w:rsid w:val="00843CDE"/>
    <w:rsid w:val="008441E2"/>
    <w:rsid w:val="0085133F"/>
    <w:rsid w:val="00851DD1"/>
    <w:rsid w:val="00852AAD"/>
    <w:rsid w:val="00853DBC"/>
    <w:rsid w:val="00861130"/>
    <w:rsid w:val="0086232D"/>
    <w:rsid w:val="008662D2"/>
    <w:rsid w:val="0087221E"/>
    <w:rsid w:val="00872694"/>
    <w:rsid w:val="00874807"/>
    <w:rsid w:val="008755FB"/>
    <w:rsid w:val="008756F8"/>
    <w:rsid w:val="00893C68"/>
    <w:rsid w:val="00895CBF"/>
    <w:rsid w:val="008A0D72"/>
    <w:rsid w:val="008A2357"/>
    <w:rsid w:val="008A23F8"/>
    <w:rsid w:val="008A2BE9"/>
    <w:rsid w:val="008A3110"/>
    <w:rsid w:val="008B1479"/>
    <w:rsid w:val="008B4C03"/>
    <w:rsid w:val="008B5FDB"/>
    <w:rsid w:val="008B7F6E"/>
    <w:rsid w:val="008C0D16"/>
    <w:rsid w:val="008D0B9E"/>
    <w:rsid w:val="008D500A"/>
    <w:rsid w:val="008E1FC8"/>
    <w:rsid w:val="008F2289"/>
    <w:rsid w:val="00912266"/>
    <w:rsid w:val="009206C6"/>
    <w:rsid w:val="0092158A"/>
    <w:rsid w:val="00925FEC"/>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92221"/>
    <w:rsid w:val="009A1B72"/>
    <w:rsid w:val="009A52FE"/>
    <w:rsid w:val="009B1746"/>
    <w:rsid w:val="009B4B8F"/>
    <w:rsid w:val="009C0212"/>
    <w:rsid w:val="009D0040"/>
    <w:rsid w:val="009D4F42"/>
    <w:rsid w:val="009D709A"/>
    <w:rsid w:val="009D7FAF"/>
    <w:rsid w:val="009E6047"/>
    <w:rsid w:val="009F0F82"/>
    <w:rsid w:val="009F2D0F"/>
    <w:rsid w:val="00A03E2F"/>
    <w:rsid w:val="00A066BE"/>
    <w:rsid w:val="00A118E0"/>
    <w:rsid w:val="00A20F03"/>
    <w:rsid w:val="00A21A7A"/>
    <w:rsid w:val="00A24A2F"/>
    <w:rsid w:val="00A31AD6"/>
    <w:rsid w:val="00A320B1"/>
    <w:rsid w:val="00A3561C"/>
    <w:rsid w:val="00A40974"/>
    <w:rsid w:val="00A508B7"/>
    <w:rsid w:val="00A54595"/>
    <w:rsid w:val="00A62100"/>
    <w:rsid w:val="00A7405F"/>
    <w:rsid w:val="00A751D8"/>
    <w:rsid w:val="00A76933"/>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06F9"/>
    <w:rsid w:val="00AC1BDB"/>
    <w:rsid w:val="00AC37AC"/>
    <w:rsid w:val="00AC513C"/>
    <w:rsid w:val="00AC7D19"/>
    <w:rsid w:val="00AD1C85"/>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73095"/>
    <w:rsid w:val="00B80E64"/>
    <w:rsid w:val="00B84D8D"/>
    <w:rsid w:val="00B86765"/>
    <w:rsid w:val="00B916DC"/>
    <w:rsid w:val="00B955A9"/>
    <w:rsid w:val="00B9626A"/>
    <w:rsid w:val="00B976ED"/>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74530"/>
    <w:rsid w:val="00C81584"/>
    <w:rsid w:val="00C86158"/>
    <w:rsid w:val="00C878E2"/>
    <w:rsid w:val="00C9171B"/>
    <w:rsid w:val="00C92E66"/>
    <w:rsid w:val="00CA2B0B"/>
    <w:rsid w:val="00CA405A"/>
    <w:rsid w:val="00CA6ECC"/>
    <w:rsid w:val="00CB303A"/>
    <w:rsid w:val="00CC000B"/>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4A21"/>
    <w:rsid w:val="00D85E54"/>
    <w:rsid w:val="00D875E6"/>
    <w:rsid w:val="00D94669"/>
    <w:rsid w:val="00DA0CE9"/>
    <w:rsid w:val="00DA0D3E"/>
    <w:rsid w:val="00DB0052"/>
    <w:rsid w:val="00DB2A26"/>
    <w:rsid w:val="00DB48CF"/>
    <w:rsid w:val="00DB75AA"/>
    <w:rsid w:val="00DC0B1C"/>
    <w:rsid w:val="00DC0DBF"/>
    <w:rsid w:val="00DC1241"/>
    <w:rsid w:val="00DC2FBC"/>
    <w:rsid w:val="00DC4F50"/>
    <w:rsid w:val="00DC6954"/>
    <w:rsid w:val="00DC6E67"/>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5830"/>
    <w:rsid w:val="00F605AB"/>
    <w:rsid w:val="00F6145F"/>
    <w:rsid w:val="00F63CD7"/>
    <w:rsid w:val="00F6437C"/>
    <w:rsid w:val="00F679DE"/>
    <w:rsid w:val="00F8052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427534959">
      <w:bodyDiv w:val="1"/>
      <w:marLeft w:val="0"/>
      <w:marRight w:val="0"/>
      <w:marTop w:val="0"/>
      <w:marBottom w:val="0"/>
      <w:divBdr>
        <w:top w:val="none" w:sz="0" w:space="0" w:color="auto"/>
        <w:left w:val="none" w:sz="0" w:space="0" w:color="auto"/>
        <w:bottom w:val="none" w:sz="0" w:space="0" w:color="auto"/>
        <w:right w:val="none" w:sz="0" w:space="0" w:color="auto"/>
      </w:divBdr>
    </w:div>
    <w:div w:id="1548957230">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author/49732-Allan_Savory" TargetMode="External"/><Relationship Id="rId13" Type="http://schemas.openxmlformats.org/officeDocument/2006/relationships/hyperlink" Target="https://www.climatefruitandwine.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h@cga.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dd.adobe.com/view/e2eea210-13f6-467e-a5e9-45f115215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2020-08-03T05:55:00Z</dcterms:created>
  <dcterms:modified xsi:type="dcterms:W3CDTF">2020-08-03T05:55:00Z</dcterms:modified>
</cp:coreProperties>
</file>