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EA3577" w:rsidRDefault="005859D8" w:rsidP="00EA3577">
      <w:pPr>
        <w:spacing w:after="0" w:line="240" w:lineRule="auto"/>
        <w:ind w:right="113"/>
        <w:rPr>
          <w:rFonts w:ascii="Comic Sans MS" w:hAnsi="Comic Sans MS"/>
          <w:b/>
          <w:i/>
          <w:sz w:val="40"/>
          <w:szCs w:val="40"/>
          <w:lang w:val="af-ZA"/>
        </w:rPr>
      </w:pPr>
      <w:bookmarkStart w:id="0" w:name="_GoBack"/>
      <w:bookmarkEnd w:id="0"/>
      <w:r w:rsidRPr="00EA3577">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577">
        <w:rPr>
          <w:rFonts w:ascii="Comic Sans MS" w:hAnsi="Comic Sans MS"/>
          <w:b/>
          <w:i/>
          <w:sz w:val="40"/>
          <w:szCs w:val="40"/>
          <w:lang w:val="af-ZA"/>
        </w:rPr>
        <w:t>UIT DIE PEN VAN DIE C</w:t>
      </w:r>
      <w:r w:rsidRPr="00EA3577">
        <w:rPr>
          <w:rFonts w:ascii="Comic Sans MS" w:hAnsi="Comic Sans MS"/>
          <w:b/>
          <w:i/>
          <w:sz w:val="40"/>
          <w:szCs w:val="40"/>
          <w:lang w:val="af-ZA"/>
        </w:rPr>
        <w:t>EO (</w:t>
      </w:r>
      <w:r w:rsidR="005F4137" w:rsidRPr="00EA3577">
        <w:rPr>
          <w:rFonts w:ascii="Comic Sans MS" w:hAnsi="Comic Sans MS"/>
          <w:b/>
          <w:i/>
          <w:sz w:val="40"/>
          <w:szCs w:val="40"/>
          <w:lang w:val="af-ZA"/>
        </w:rPr>
        <w:t>47/</w:t>
      </w:r>
      <w:r w:rsidRPr="00EA3577">
        <w:rPr>
          <w:rFonts w:ascii="Comic Sans MS" w:hAnsi="Comic Sans MS"/>
          <w:b/>
          <w:i/>
          <w:sz w:val="40"/>
          <w:szCs w:val="40"/>
          <w:lang w:val="af-ZA"/>
        </w:rPr>
        <w:t>19)</w:t>
      </w:r>
      <w:r w:rsidRPr="00EA3577">
        <w:rPr>
          <w:noProof/>
          <w:lang w:val="af-ZA" w:eastAsia="en-ZA"/>
        </w:rPr>
        <w:t xml:space="preserve"> </w:t>
      </w:r>
    </w:p>
    <w:p w:rsidR="005859D8" w:rsidRPr="00EA3577" w:rsidRDefault="005859D8" w:rsidP="00EA3577">
      <w:pPr>
        <w:spacing w:after="0" w:line="240" w:lineRule="auto"/>
        <w:ind w:right="113"/>
        <w:rPr>
          <w:rFonts w:ascii="Comic Sans MS" w:hAnsi="Comic Sans MS"/>
          <w:b/>
          <w:color w:val="00B050"/>
          <w:sz w:val="21"/>
          <w:szCs w:val="21"/>
          <w:lang w:val="af-ZA"/>
        </w:rPr>
      </w:pPr>
      <w:r w:rsidRPr="00EA3577">
        <w:rPr>
          <w:rFonts w:ascii="Comic Sans MS" w:hAnsi="Comic Sans MS"/>
          <w:b/>
          <w:color w:val="00B050"/>
          <w:sz w:val="21"/>
          <w:szCs w:val="21"/>
          <w:lang w:val="af-ZA"/>
        </w:rPr>
        <w:t>(</w:t>
      </w:r>
      <w:r w:rsidR="00EA3577">
        <w:rPr>
          <w:rFonts w:ascii="Comic Sans MS" w:hAnsi="Comic Sans MS"/>
          <w:b/>
          <w:color w:val="00B050"/>
          <w:sz w:val="21"/>
          <w:szCs w:val="21"/>
          <w:lang w:val="af-ZA"/>
        </w:rPr>
        <w:t xml:space="preserve">Volg my op </w:t>
      </w:r>
      <w:r w:rsidRPr="00EA3577">
        <w:rPr>
          <w:rFonts w:ascii="Comic Sans MS" w:hAnsi="Comic Sans MS"/>
          <w:b/>
          <w:color w:val="00B050"/>
          <w:sz w:val="21"/>
          <w:szCs w:val="21"/>
          <w:lang w:val="af-ZA"/>
        </w:rPr>
        <w:t>Twitter justchad_cga)</w:t>
      </w:r>
    </w:p>
    <w:p w:rsidR="00361403" w:rsidRPr="00EA3577" w:rsidRDefault="005F4137">
      <w:pPr>
        <w:rPr>
          <w:rFonts w:ascii="Comic Sans MS" w:hAnsi="Comic Sans MS"/>
          <w:i/>
          <w:sz w:val="21"/>
          <w:szCs w:val="21"/>
          <w:lang w:val="af-ZA"/>
        </w:rPr>
      </w:pPr>
      <w:r w:rsidRPr="00EA3577">
        <w:rPr>
          <w:rFonts w:ascii="Comic Sans MS" w:hAnsi="Comic Sans MS"/>
          <w:i/>
          <w:sz w:val="21"/>
          <w:szCs w:val="21"/>
          <w:lang w:val="af-ZA"/>
        </w:rPr>
        <w:t>Justin Chadwick 22</w:t>
      </w:r>
      <w:r w:rsidR="000E541C" w:rsidRPr="00EA3577">
        <w:rPr>
          <w:rFonts w:ascii="Comic Sans MS" w:hAnsi="Comic Sans MS"/>
          <w:i/>
          <w:sz w:val="21"/>
          <w:szCs w:val="21"/>
          <w:lang w:val="af-ZA"/>
        </w:rPr>
        <w:t xml:space="preserve"> November</w:t>
      </w:r>
      <w:r w:rsidR="00361403" w:rsidRPr="00EA3577">
        <w:rPr>
          <w:rFonts w:ascii="Comic Sans MS" w:hAnsi="Comic Sans MS"/>
          <w:i/>
          <w:sz w:val="21"/>
          <w:szCs w:val="21"/>
          <w:lang w:val="af-ZA"/>
        </w:rPr>
        <w:t xml:space="preserve"> 2019</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0D76D2" w:rsidTr="00ED209B">
        <w:trPr>
          <w:trHeight w:val="555"/>
          <w:tblCellSpacing w:w="0" w:type="dxa"/>
        </w:trPr>
        <w:tc>
          <w:tcPr>
            <w:tcW w:w="10824" w:type="dxa"/>
            <w:vAlign w:val="center"/>
          </w:tcPr>
          <w:p w:rsidR="00836320" w:rsidRPr="00ED209B" w:rsidRDefault="005F4137" w:rsidP="00ED209B">
            <w:pPr>
              <w:ind w:right="-329"/>
              <w:rPr>
                <w:rFonts w:ascii="Arial" w:hAnsi="Arial" w:cs="Arial"/>
                <w:b/>
                <w:i/>
                <w:lang w:val="en-US"/>
              </w:rPr>
            </w:pPr>
            <w:r w:rsidRPr="00897D4D">
              <w:rPr>
                <w:rFonts w:ascii="Arial" w:hAnsi="Arial" w:cs="Arial"/>
                <w:b/>
                <w:i/>
                <w:lang w:val="en-US"/>
              </w:rPr>
              <w:t>“</w:t>
            </w:r>
            <w:r>
              <w:rPr>
                <w:rFonts w:ascii="Arial" w:hAnsi="Arial" w:cs="Arial"/>
                <w:b/>
                <w:i/>
                <w:lang w:val="en-US"/>
              </w:rPr>
              <w:t>Leadership is about vision and responsibility, not power.” – Seth Berkley</w:t>
            </w:r>
          </w:p>
        </w:tc>
      </w:tr>
    </w:tbl>
    <w:p w:rsidR="00EA3577" w:rsidRDefault="00EA3577" w:rsidP="00EA3577">
      <w:pPr>
        <w:spacing w:after="0" w:line="240" w:lineRule="auto"/>
        <w:rPr>
          <w:b/>
          <w:bCs/>
          <w:noProof/>
          <w:color w:val="C45911" w:themeColor="accent2" w:themeShade="BF"/>
          <w:sz w:val="24"/>
          <w:szCs w:val="24"/>
          <w:u w:val="single"/>
          <w:lang w:val="af-ZA"/>
        </w:rPr>
      </w:pPr>
      <w:r w:rsidRPr="00EA3577">
        <w:rPr>
          <w:b/>
          <w:bCs/>
          <w:noProof/>
          <w:color w:val="C45911" w:themeColor="accent2" w:themeShade="BF"/>
          <w:sz w:val="24"/>
          <w:szCs w:val="24"/>
          <w:u w:val="single"/>
          <w:lang w:val="af-ZA"/>
        </w:rPr>
        <w:t>2019 SAGTE SITRUS SEISOENALE OORSIG (Opgestel deur Portia Magwaza; CGA Navorsingsekonoom)</w:t>
      </w:r>
    </w:p>
    <w:p w:rsidR="00EA3577" w:rsidRPr="00EA3577" w:rsidRDefault="005F4137" w:rsidP="009375DC">
      <w:pPr>
        <w:spacing w:after="0" w:line="240" w:lineRule="auto"/>
        <w:jc w:val="both"/>
        <w:rPr>
          <w:rFonts w:asciiTheme="minorHAnsi" w:eastAsiaTheme="minorHAnsi" w:hAnsiTheme="minorHAnsi"/>
          <w:noProof/>
          <w:color w:val="000000" w:themeColor="text1"/>
          <w:sz w:val="24"/>
          <w:szCs w:val="24"/>
          <w:lang w:val="af-ZA"/>
        </w:rPr>
      </w:pPr>
      <w:r w:rsidRPr="00EA3577">
        <w:rPr>
          <w:noProof/>
          <w:sz w:val="20"/>
          <w:szCs w:val="20"/>
          <w:lang w:val="en-US"/>
        </w:rPr>
        <w:drawing>
          <wp:anchor distT="0" distB="0" distL="114300" distR="114300" simplePos="0" relativeHeight="251665408" behindDoc="1" locked="0" layoutInCell="1" allowOverlap="1" wp14:anchorId="64D36DA5" wp14:editId="23A07DDA">
            <wp:simplePos x="0" y="0"/>
            <wp:positionH relativeFrom="column">
              <wp:posOffset>0</wp:posOffset>
            </wp:positionH>
            <wp:positionV relativeFrom="paragraph">
              <wp:posOffset>3810</wp:posOffset>
            </wp:positionV>
            <wp:extent cx="3792220" cy="1906270"/>
            <wp:effectExtent l="0" t="0" r="17780" b="17780"/>
            <wp:wrapTight wrapText="bothSides">
              <wp:wrapPolygon edited="0">
                <wp:start x="0" y="0"/>
                <wp:lineTo x="0" y="21586"/>
                <wp:lineTo x="21593" y="21586"/>
                <wp:lineTo x="21593"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EA3577" w:rsidRPr="00EA3577">
        <w:rPr>
          <w:noProof/>
          <w:color w:val="000000" w:themeColor="text1"/>
          <w:sz w:val="20"/>
          <w:szCs w:val="20"/>
          <w:lang w:val="af-ZA"/>
        </w:rPr>
        <w:t>Aangesien die gordyn op die sagte sitrusseisoen van 2019 gesak het, is dit aangeteken as 'n rekord in terme van die volume wat vir uitvoer gepak is</w:t>
      </w:r>
      <w:r w:rsidR="009375DC">
        <w:rPr>
          <w:noProof/>
          <w:color w:val="000000" w:themeColor="text1"/>
          <w:sz w:val="20"/>
          <w:szCs w:val="20"/>
          <w:lang w:val="af-ZA"/>
        </w:rPr>
        <w:t>,</w:t>
      </w:r>
      <w:r w:rsidR="00EA3577" w:rsidRPr="00EA3577">
        <w:rPr>
          <w:noProof/>
          <w:color w:val="000000" w:themeColor="text1"/>
          <w:sz w:val="20"/>
          <w:szCs w:val="20"/>
          <w:lang w:val="af-ZA"/>
        </w:rPr>
        <w:t xml:space="preserve"> wat 2018 se 16,2 miljoen kartonne verby gesteek het. Die aanvanklike skatting was vir 18,3 miljoen kartonne en die finale telling was 18,2 miljoen – wel gedaan Sagte Sitrus Fokusgroep.  Die grootste streek is die Boland met 4,3 miljoen kartonne, gevolg deur die Wes-Kaap (3,4 miljoen) en Patensie (</w:t>
      </w:r>
      <w:r w:rsidR="009375DC">
        <w:rPr>
          <w:noProof/>
          <w:color w:val="000000" w:themeColor="text1"/>
          <w:sz w:val="20"/>
          <w:szCs w:val="20"/>
          <w:lang w:val="af-ZA"/>
        </w:rPr>
        <w:t xml:space="preserve">wat </w:t>
      </w:r>
      <w:r w:rsidR="00EA3577" w:rsidRPr="00EA3577">
        <w:rPr>
          <w:noProof/>
          <w:color w:val="000000" w:themeColor="text1"/>
          <w:sz w:val="20"/>
          <w:szCs w:val="20"/>
          <w:lang w:val="af-ZA"/>
        </w:rPr>
        <w:t>ondanks water ellendes</w:t>
      </w:r>
      <w:r w:rsidR="009375DC">
        <w:rPr>
          <w:noProof/>
          <w:color w:val="000000" w:themeColor="text1"/>
          <w:sz w:val="20"/>
          <w:szCs w:val="20"/>
          <w:lang w:val="af-ZA"/>
        </w:rPr>
        <w:t>) 2</w:t>
      </w:r>
      <w:r w:rsidR="00EA3577" w:rsidRPr="00EA3577">
        <w:rPr>
          <w:noProof/>
          <w:color w:val="000000" w:themeColor="text1"/>
          <w:sz w:val="20"/>
          <w:szCs w:val="20"/>
          <w:lang w:val="af-ZA"/>
        </w:rPr>
        <w:t>,6 miljoen aangeteken het. Sondagsriviervallei  het 2,5 miljoen kartonne gepak, terwyl Burgersfort en Ohrigstad 1,7 miljoen kartonne gepak het.</w:t>
      </w:r>
    </w:p>
    <w:p w:rsidR="00EA3577" w:rsidRPr="00EA3577" w:rsidRDefault="00EA3577" w:rsidP="009375DC">
      <w:pPr>
        <w:spacing w:after="0" w:line="240" w:lineRule="auto"/>
        <w:jc w:val="both"/>
        <w:rPr>
          <w:rFonts w:asciiTheme="minorHAnsi" w:eastAsiaTheme="minorHAnsi" w:hAnsiTheme="minorHAnsi"/>
          <w:noProof/>
          <w:color w:val="000000" w:themeColor="text1"/>
          <w:sz w:val="20"/>
          <w:szCs w:val="20"/>
          <w:lang w:val="af-ZA"/>
        </w:rPr>
      </w:pPr>
      <w:r w:rsidRPr="00EA3577">
        <w:rPr>
          <w:noProof/>
          <w:color w:val="000000" w:themeColor="text1"/>
          <w:sz w:val="20"/>
          <w:szCs w:val="20"/>
          <w:lang w:val="af-ZA"/>
        </w:rPr>
        <w:t xml:space="preserve">Die VK bly die top bestemming </w:t>
      </w:r>
      <w:r>
        <w:rPr>
          <w:noProof/>
          <w:color w:val="000000" w:themeColor="text1"/>
          <w:sz w:val="20"/>
          <w:szCs w:val="20"/>
          <w:lang w:val="af-ZA"/>
        </w:rPr>
        <w:t xml:space="preserve">vir </w:t>
      </w:r>
      <w:r w:rsidRPr="00EA3577">
        <w:rPr>
          <w:noProof/>
          <w:color w:val="000000" w:themeColor="text1"/>
          <w:sz w:val="20"/>
          <w:szCs w:val="20"/>
          <w:lang w:val="af-ZA"/>
        </w:rPr>
        <w:t>Suider-Afrika se sagte sitrus - het van 2018 se 61 900 ton tot 61 200 ton gedaal. Nederland het tweede gekom met 'n toename van 48 000 ton tot 55 300 ton. Rusland het 'n effense afname van 26 400 ton tot 24 400 ton ondervind. Die vierde posisie gaan na die VSA – toegeneem van 12 800 ton tot 16 600 ton, net soos Bangladesh (10 600 ton teenoor 14 300 ton).</w:t>
      </w:r>
    </w:p>
    <w:p w:rsidR="00496A4F" w:rsidRDefault="00496A4F" w:rsidP="005F4137">
      <w:pPr>
        <w:spacing w:after="0" w:line="240" w:lineRule="auto"/>
        <w:jc w:val="both"/>
        <w:rPr>
          <w:bCs/>
        </w:rPr>
      </w:pPr>
      <w:r>
        <w:rPr>
          <w:noProof/>
          <w:lang w:val="en-US"/>
        </w:rPr>
        <w:drawing>
          <wp:anchor distT="0" distB="0" distL="114300" distR="114300" simplePos="0" relativeHeight="251667456" behindDoc="1" locked="0" layoutInCell="1" allowOverlap="1" wp14:anchorId="5158FF1D" wp14:editId="5E3FD2E6">
            <wp:simplePos x="0" y="0"/>
            <wp:positionH relativeFrom="column">
              <wp:posOffset>119380</wp:posOffset>
            </wp:positionH>
            <wp:positionV relativeFrom="paragraph">
              <wp:posOffset>30480</wp:posOffset>
            </wp:positionV>
            <wp:extent cx="3829685" cy="2147570"/>
            <wp:effectExtent l="0" t="0" r="0" b="5080"/>
            <wp:wrapTight wrapText="bothSides">
              <wp:wrapPolygon edited="0">
                <wp:start x="0" y="0"/>
                <wp:lineTo x="0" y="21459"/>
                <wp:lineTo x="21489" y="21459"/>
                <wp:lineTo x="21489" y="0"/>
                <wp:lineTo x="0" y="0"/>
              </wp:wrapPolygon>
            </wp:wrapTight>
            <wp:docPr id="8" name="Picture 8" descr="cid:image001.png@01D59ED9.7C221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1.png@01D59ED9.7C221D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29685" cy="2147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06B9" w:rsidRDefault="008B7F6E" w:rsidP="005F4137">
      <w:pPr>
        <w:spacing w:after="0" w:line="240" w:lineRule="auto"/>
        <w:jc w:val="both"/>
        <w:rPr>
          <w:bCs/>
        </w:rPr>
      </w:pPr>
      <w:r>
        <w:rPr>
          <w:bCs/>
          <w:noProof/>
          <w:lang w:val="en-US"/>
        </w:rPr>
        <mc:AlternateContent>
          <mc:Choice Requires="wps">
            <w:drawing>
              <wp:anchor distT="0" distB="0" distL="114300" distR="114300" simplePos="0" relativeHeight="251666432" behindDoc="1" locked="0" layoutInCell="1" allowOverlap="1" wp14:anchorId="518AB9D0" wp14:editId="52074EDB">
                <wp:simplePos x="0" y="0"/>
                <wp:positionH relativeFrom="column">
                  <wp:posOffset>4519930</wp:posOffset>
                </wp:positionH>
                <wp:positionV relativeFrom="paragraph">
                  <wp:posOffset>2540</wp:posOffset>
                </wp:positionV>
                <wp:extent cx="2251075" cy="1647190"/>
                <wp:effectExtent l="0" t="0" r="15875" b="10160"/>
                <wp:wrapTight wrapText="bothSides">
                  <wp:wrapPolygon edited="0">
                    <wp:start x="0" y="0"/>
                    <wp:lineTo x="0" y="21483"/>
                    <wp:lineTo x="21570" y="21483"/>
                    <wp:lineTo x="2157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251075" cy="1647190"/>
                        </a:xfrm>
                        <a:prstGeom prst="rect">
                          <a:avLst/>
                        </a:prstGeom>
                        <a:solidFill>
                          <a:schemeClr val="lt1"/>
                        </a:solidFill>
                        <a:ln w="6350">
                          <a:solidFill>
                            <a:prstClr val="black"/>
                          </a:solidFill>
                        </a:ln>
                      </wps:spPr>
                      <wps:txbx>
                        <w:txbxContent>
                          <w:p w:rsidR="00F35939" w:rsidRPr="00F35939" w:rsidRDefault="00F35939" w:rsidP="00F35939">
                            <w:pPr>
                              <w:spacing w:line="240" w:lineRule="auto"/>
                              <w:jc w:val="both"/>
                              <w:rPr>
                                <w:noProof/>
                                <w:lang w:val="af-ZA"/>
                              </w:rPr>
                            </w:pPr>
                            <w:r w:rsidRPr="00F35939">
                              <w:rPr>
                                <w:noProof/>
                                <w:lang w:val="af-ZA"/>
                              </w:rPr>
                              <w:t>Laat mandaryne oorheers steeds hierdie kategorie - styg tot 8,6 miljoen kartonne in 2019. Nova's het 'n plato op 3,6 miljoen kartonne bereik. Terwyl Clementines die tweede plek op 3,8 miljoen kartonne oorgeneem het. Satsumas het na 1,3 miljoen verminder.</w:t>
                            </w:r>
                          </w:p>
                          <w:p w:rsidR="00496A4F" w:rsidRPr="00FE7527" w:rsidRDefault="00496A4F" w:rsidP="00BB2034">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AB9D0" id="_x0000_t202" coordsize="21600,21600" o:spt="202" path="m,l,21600r21600,l21600,xe">
                <v:stroke joinstyle="miter"/>
                <v:path gradientshapeok="t" o:connecttype="rect"/>
              </v:shapetype>
              <v:shape id="Text Box 7" o:spid="_x0000_s1026" type="#_x0000_t202" style="position:absolute;left:0;text-align:left;margin-left:355.9pt;margin-top:.2pt;width:177.25pt;height:129.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" fillcolor="white [3201]" strokeweight=".5pt">
                <v:textbox>
                  <w:txbxContent>
                    <w:p w:rsidR="00F35939" w:rsidRPr="00F35939" w:rsidRDefault="00F35939" w:rsidP="00F35939">
                      <w:pPr>
                        <w:spacing w:line="240" w:lineRule="auto"/>
                        <w:jc w:val="both"/>
                        <w:rPr>
                          <w:noProof/>
                          <w:lang w:val="af-ZA"/>
                        </w:rPr>
                      </w:pPr>
                      <w:r w:rsidRPr="00F35939">
                        <w:rPr>
                          <w:noProof/>
                          <w:lang w:val="af-ZA"/>
                        </w:rPr>
                        <w:t>Laat mandaryne oorheers steeds hierdie kategorie - styg tot 8,6 miljoen kartonne in 2019. Nova's het 'n plato op 3,6 miljoen kartonne bereik. Terwyl Clementines die tweede plek op 3,8 miljoen kartonne oorgeneem het. Satsumas het na 1,3 miljoen verminder.</w:t>
                      </w:r>
                    </w:p>
                    <w:p w:rsidR="00496A4F" w:rsidRPr="00FE7527" w:rsidRDefault="00496A4F" w:rsidP="00BB2034">
                      <w:pPr>
                        <w:rPr>
                          <w:sz w:val="21"/>
                          <w:szCs w:val="21"/>
                        </w:rPr>
                      </w:pPr>
                    </w:p>
                  </w:txbxContent>
                </v:textbox>
                <w10:wrap type="tight"/>
              </v:shape>
            </w:pict>
          </mc:Fallback>
        </mc:AlternateContent>
      </w:r>
    </w:p>
    <w:p w:rsidR="005F4137" w:rsidRDefault="00FE7527" w:rsidP="005F4137">
      <w:pPr>
        <w:spacing w:after="0" w:line="240" w:lineRule="auto"/>
        <w:jc w:val="both"/>
        <w:rPr>
          <w:bCs/>
        </w:rPr>
      </w:pPr>
      <w:r w:rsidRPr="008B7F6E">
        <w:rPr>
          <w:bCs/>
          <w:noProof/>
          <w:lang w:val="en-US"/>
        </w:rPr>
        <mc:AlternateContent>
          <mc:Choice Requires="wps">
            <w:drawing>
              <wp:anchor distT="45720" distB="45720" distL="114300" distR="114300" simplePos="0" relativeHeight="251669504" behindDoc="0" locked="0" layoutInCell="1" allowOverlap="1" wp14:anchorId="2086207F" wp14:editId="54997995">
                <wp:simplePos x="0" y="0"/>
                <wp:positionH relativeFrom="column">
                  <wp:posOffset>4381500</wp:posOffset>
                </wp:positionH>
                <wp:positionV relativeFrom="paragraph">
                  <wp:posOffset>1790065</wp:posOffset>
                </wp:positionV>
                <wp:extent cx="2350135" cy="3000375"/>
                <wp:effectExtent l="0" t="0" r="1206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3000375"/>
                        </a:xfrm>
                        <a:prstGeom prst="rect">
                          <a:avLst/>
                        </a:prstGeom>
                        <a:solidFill>
                          <a:srgbClr val="FFFFFF"/>
                        </a:solidFill>
                        <a:ln w="9525">
                          <a:solidFill>
                            <a:srgbClr val="000000"/>
                          </a:solidFill>
                          <a:miter lim="800000"/>
                          <a:headEnd/>
                          <a:tailEnd/>
                        </a:ln>
                      </wps:spPr>
                      <wps:txbx>
                        <w:txbxContent>
                          <w:p w:rsidR="00F35939" w:rsidRPr="00F35939" w:rsidRDefault="00F35939" w:rsidP="009375DC">
                            <w:pPr>
                              <w:spacing w:after="0" w:line="240" w:lineRule="auto"/>
                              <w:jc w:val="both"/>
                              <w:rPr>
                                <w:noProof/>
                                <w:lang w:val="af-ZA"/>
                              </w:rPr>
                            </w:pPr>
                            <w:r w:rsidRPr="00F35939">
                              <w:rPr>
                                <w:noProof/>
                                <w:lang w:val="af-ZA"/>
                              </w:rPr>
                              <w:t>Onder die beskerming van die “</w:t>
                            </w:r>
                            <w:r w:rsidRPr="00F35939">
                              <w:t xml:space="preserve">Southern Hemisphere Association of Fresh Fruit Exporters (SHAFFE)” word </w:t>
                            </w:r>
                            <w:r w:rsidRPr="00F35939">
                              <w:rPr>
                                <w:noProof/>
                                <w:lang w:val="af-ZA"/>
                              </w:rPr>
                              <w:t>die syfers van sitrus</w:t>
                            </w:r>
                            <w:r w:rsidR="009375DC">
                              <w:rPr>
                                <w:noProof/>
                                <w:lang w:val="af-ZA"/>
                              </w:rPr>
                              <w:t>-</w:t>
                            </w:r>
                            <w:r w:rsidRPr="00F35939">
                              <w:rPr>
                                <w:noProof/>
                                <w:lang w:val="af-ZA"/>
                              </w:rPr>
                              <w:t>uitvoer volumes weekliks gedeel. Joh</w:t>
                            </w:r>
                            <w:r w:rsidR="009375DC">
                              <w:rPr>
                                <w:noProof/>
                                <w:lang w:val="af-ZA"/>
                              </w:rPr>
                              <w:t>n Edmonds (CGA Bestuurder: Inli</w:t>
                            </w:r>
                            <w:r w:rsidRPr="00F35939">
                              <w:rPr>
                                <w:noProof/>
                                <w:lang w:val="af-ZA"/>
                              </w:rPr>
                              <w:t xml:space="preserve">gting) het die syfers van 2019 ontleed. Die VSA is die belangrikste bestemming wat hoofsaaklik deur Chili en Peru </w:t>
                            </w:r>
                            <w:r w:rsidR="009375DC">
                              <w:rPr>
                                <w:noProof/>
                                <w:lang w:val="af-ZA"/>
                              </w:rPr>
                              <w:t xml:space="preserve">voorsien </w:t>
                            </w:r>
                            <w:r w:rsidRPr="00F35939">
                              <w:rPr>
                                <w:noProof/>
                                <w:lang w:val="af-ZA"/>
                              </w:rPr>
                              <w:t>word. Suid-Afrika het die uitvoer</w:t>
                            </w:r>
                            <w:r>
                              <w:rPr>
                                <w:noProof/>
                                <w:lang w:val="af-ZA"/>
                              </w:rPr>
                              <w:t>e</w:t>
                            </w:r>
                            <w:r w:rsidRPr="00F35939">
                              <w:rPr>
                                <w:noProof/>
                                <w:lang w:val="af-ZA"/>
                              </w:rPr>
                              <w:t xml:space="preserve"> na die VK, Noord- en Suid-Europa, Rusland, Suidoos-Asië en die Midde-Ooste oorheers. Australië is aktief in China en Asië. Argentinië is deel van die groep in Rusland. Kanada word deur Suid-Afrika en Peru voorsien.</w:t>
                            </w:r>
                          </w:p>
                          <w:p w:rsidR="008B7F6E" w:rsidRPr="00FE7527" w:rsidRDefault="008B7F6E">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86207F" id="_x0000_t202" coordsize="21600,21600" o:spt="202" path="m,l,21600r21600,l21600,xe">
                <v:stroke joinstyle="miter"/>
                <v:path gradientshapeok="t" o:connecttype="rect"/>
              </v:shapetype>
              <v:shape id="Text Box 2" o:spid="_x0000_s1027" type="#_x0000_t202" style="position:absolute;left:0;text-align:left;margin-left:345pt;margin-top:140.95pt;width:185.05pt;height:236.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">
                <v:textbox>
                  <w:txbxContent>
                    <w:p w:rsidR="00F35939" w:rsidRPr="00F35939" w:rsidRDefault="00F35939" w:rsidP="009375DC">
                      <w:pPr>
                        <w:spacing w:after="0" w:line="240" w:lineRule="auto"/>
                        <w:jc w:val="both"/>
                        <w:rPr>
                          <w:noProof/>
                          <w:lang w:val="af-ZA"/>
                        </w:rPr>
                      </w:pPr>
                      <w:r w:rsidRPr="00F35939">
                        <w:rPr>
                          <w:noProof/>
                          <w:lang w:val="af-ZA"/>
                        </w:rPr>
                        <w:t>Onder die beskerming van die “</w:t>
                      </w:r>
                      <w:r w:rsidRPr="00F35939">
                        <w:t xml:space="preserve">Southern Hemisphere Association of Fresh Fruit Exporters (SHAFFE)” word </w:t>
                      </w:r>
                      <w:r w:rsidRPr="00F35939">
                        <w:rPr>
                          <w:noProof/>
                          <w:lang w:val="af-ZA"/>
                        </w:rPr>
                        <w:t>die syfers van sitrus</w:t>
                      </w:r>
                      <w:r w:rsidR="009375DC">
                        <w:rPr>
                          <w:noProof/>
                          <w:lang w:val="af-ZA"/>
                        </w:rPr>
                        <w:t>-</w:t>
                      </w:r>
                      <w:r w:rsidRPr="00F35939">
                        <w:rPr>
                          <w:noProof/>
                          <w:lang w:val="af-ZA"/>
                        </w:rPr>
                        <w:t>uitvoer volumes weekliks gedeel. Joh</w:t>
                      </w:r>
                      <w:r w:rsidR="009375DC">
                        <w:rPr>
                          <w:noProof/>
                          <w:lang w:val="af-ZA"/>
                        </w:rPr>
                        <w:t>n Edmonds (CGA Bestuurder: Inli</w:t>
                      </w:r>
                      <w:r w:rsidRPr="00F35939">
                        <w:rPr>
                          <w:noProof/>
                          <w:lang w:val="af-ZA"/>
                        </w:rPr>
                        <w:t xml:space="preserve">gting) het die syfers van 2019 ontleed. Die VSA is die belangrikste bestemming wat hoofsaaklik deur Chili en Peru </w:t>
                      </w:r>
                      <w:r w:rsidR="009375DC">
                        <w:rPr>
                          <w:noProof/>
                          <w:lang w:val="af-ZA"/>
                        </w:rPr>
                        <w:t xml:space="preserve">voorsien </w:t>
                      </w:r>
                      <w:r w:rsidRPr="00F35939">
                        <w:rPr>
                          <w:noProof/>
                          <w:lang w:val="af-ZA"/>
                        </w:rPr>
                        <w:t>word. Suid-Afrika het die uitvoer</w:t>
                      </w:r>
                      <w:r>
                        <w:rPr>
                          <w:noProof/>
                          <w:lang w:val="af-ZA"/>
                        </w:rPr>
                        <w:t>e</w:t>
                      </w:r>
                      <w:r w:rsidRPr="00F35939">
                        <w:rPr>
                          <w:noProof/>
                          <w:lang w:val="af-ZA"/>
                        </w:rPr>
                        <w:t xml:space="preserve"> na die VK, Noord- en Suid-Europa, Rusland, Suidoos-Asië en die Midde-Ooste oorheers. Australië is aktief in China en Asië. Argentinië is deel van die groep in Rusland. Kanada word deur Suid-Afrika en Peru voorsien.</w:t>
                      </w:r>
                    </w:p>
                    <w:p w:rsidR="008B7F6E" w:rsidRPr="00FE7527" w:rsidRDefault="008B7F6E">
                      <w:pPr>
                        <w:rPr>
                          <w:sz w:val="21"/>
                          <w:szCs w:val="21"/>
                        </w:rPr>
                      </w:pPr>
                    </w:p>
                  </w:txbxContent>
                </v:textbox>
                <w10:wrap type="square"/>
              </v:shape>
            </w:pict>
          </mc:Fallback>
        </mc:AlternateContent>
      </w:r>
    </w:p>
    <w:p w:rsidR="008B7F6E" w:rsidRDefault="008B7F6E" w:rsidP="007830CC">
      <w:r>
        <w:rPr>
          <w:rFonts w:cs="Calibri"/>
          <w:noProof/>
          <w:color w:val="1F497D"/>
          <w:lang w:val="en-US"/>
        </w:rPr>
        <w:drawing>
          <wp:inline distT="0" distB="0" distL="0" distR="0">
            <wp:extent cx="4130687" cy="2248525"/>
            <wp:effectExtent l="0" t="0" r="3175" b="0"/>
            <wp:docPr id="2" name="Picture 2" descr="cid:image008.png@01D5A07A.53390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8.png@01D5A07A.53390E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192073" cy="2281940"/>
                    </a:xfrm>
                    <a:prstGeom prst="rect">
                      <a:avLst/>
                    </a:prstGeom>
                    <a:noFill/>
                    <a:ln>
                      <a:noFill/>
                    </a:ln>
                  </pic:spPr>
                </pic:pic>
              </a:graphicData>
            </a:graphic>
          </wp:inline>
        </w:drawing>
      </w:r>
    </w:p>
    <w:p w:rsidR="003028D9" w:rsidRDefault="003028D9" w:rsidP="009375DC">
      <w:pPr>
        <w:spacing w:after="0"/>
        <w:jc w:val="center"/>
      </w:pPr>
      <w:r w:rsidRPr="00D4003F">
        <w:rPr>
          <w:b/>
          <w:color w:val="0070C0"/>
          <w:sz w:val="20"/>
          <w:szCs w:val="20"/>
        </w:rPr>
        <w:t>DIE CGA GROEP SE MAATSKAPPYE (CRI, RIVER BIOSCIENCE, XSIT, CGA CULTIVAR COMPANY, CGA GROWER DEVELOPMENT COMPANY &amp; CITRUS ACADEMY) WORD DEUR SUIDER-AFRIKA SE SITRUSPRODUSENTE BEFONDS</w:t>
      </w:r>
    </w:p>
    <w:sectPr w:rsidR="003028D9" w:rsidSect="005859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9A6" w:rsidRDefault="00E909A6" w:rsidP="00595E08">
      <w:pPr>
        <w:spacing w:after="0" w:line="240" w:lineRule="auto"/>
      </w:pPr>
      <w:r>
        <w:separator/>
      </w:r>
    </w:p>
  </w:endnote>
  <w:endnote w:type="continuationSeparator" w:id="0">
    <w:p w:rsidR="00E909A6" w:rsidRDefault="00E909A6"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9A6" w:rsidRDefault="00E909A6" w:rsidP="00595E08">
      <w:pPr>
        <w:spacing w:after="0" w:line="240" w:lineRule="auto"/>
      </w:pPr>
      <w:r>
        <w:separator/>
      </w:r>
    </w:p>
  </w:footnote>
  <w:footnote w:type="continuationSeparator" w:id="0">
    <w:p w:rsidR="00E909A6" w:rsidRDefault="00E909A6" w:rsidP="00595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5FE2"/>
    <w:rsid w:val="00047EA1"/>
    <w:rsid w:val="000A39E7"/>
    <w:rsid w:val="000D7425"/>
    <w:rsid w:val="000E541C"/>
    <w:rsid w:val="000F5B14"/>
    <w:rsid w:val="00110F70"/>
    <w:rsid w:val="001218D8"/>
    <w:rsid w:val="00122AF1"/>
    <w:rsid w:val="00122FC7"/>
    <w:rsid w:val="00174465"/>
    <w:rsid w:val="00175734"/>
    <w:rsid w:val="001757E7"/>
    <w:rsid w:val="001A29BD"/>
    <w:rsid w:val="001B203D"/>
    <w:rsid w:val="001C679B"/>
    <w:rsid w:val="001D573C"/>
    <w:rsid w:val="001D69A2"/>
    <w:rsid w:val="0020144B"/>
    <w:rsid w:val="00214DD8"/>
    <w:rsid w:val="002176D6"/>
    <w:rsid w:val="00225418"/>
    <w:rsid w:val="00230CA5"/>
    <w:rsid w:val="0023735C"/>
    <w:rsid w:val="002512C0"/>
    <w:rsid w:val="00297526"/>
    <w:rsid w:val="002A3E51"/>
    <w:rsid w:val="002D122B"/>
    <w:rsid w:val="0030169A"/>
    <w:rsid w:val="003028D9"/>
    <w:rsid w:val="00313CB1"/>
    <w:rsid w:val="00361403"/>
    <w:rsid w:val="003959C7"/>
    <w:rsid w:val="003C27D4"/>
    <w:rsid w:val="003D70AB"/>
    <w:rsid w:val="003F0C6F"/>
    <w:rsid w:val="003F2574"/>
    <w:rsid w:val="003F6E31"/>
    <w:rsid w:val="003F7804"/>
    <w:rsid w:val="00455927"/>
    <w:rsid w:val="004645E1"/>
    <w:rsid w:val="00495189"/>
    <w:rsid w:val="00496A4F"/>
    <w:rsid w:val="004C529E"/>
    <w:rsid w:val="004E0F63"/>
    <w:rsid w:val="0050561C"/>
    <w:rsid w:val="00541EB1"/>
    <w:rsid w:val="00562B1F"/>
    <w:rsid w:val="005822CF"/>
    <w:rsid w:val="005859D8"/>
    <w:rsid w:val="00595E08"/>
    <w:rsid w:val="005B6970"/>
    <w:rsid w:val="005B7B5D"/>
    <w:rsid w:val="005E05EF"/>
    <w:rsid w:val="005F2989"/>
    <w:rsid w:val="005F4137"/>
    <w:rsid w:val="00600B79"/>
    <w:rsid w:val="006042E1"/>
    <w:rsid w:val="00611C22"/>
    <w:rsid w:val="00612231"/>
    <w:rsid w:val="006254FA"/>
    <w:rsid w:val="006302CB"/>
    <w:rsid w:val="0063644A"/>
    <w:rsid w:val="006412FF"/>
    <w:rsid w:val="0067189B"/>
    <w:rsid w:val="006852F9"/>
    <w:rsid w:val="00690E5D"/>
    <w:rsid w:val="0069320C"/>
    <w:rsid w:val="0069350E"/>
    <w:rsid w:val="006A0B6E"/>
    <w:rsid w:val="006E0A15"/>
    <w:rsid w:val="006E394D"/>
    <w:rsid w:val="00732CB3"/>
    <w:rsid w:val="00756592"/>
    <w:rsid w:val="00757321"/>
    <w:rsid w:val="00761318"/>
    <w:rsid w:val="007830CC"/>
    <w:rsid w:val="007958FA"/>
    <w:rsid w:val="007A6F34"/>
    <w:rsid w:val="007D4D85"/>
    <w:rsid w:val="007E360C"/>
    <w:rsid w:val="007E6B47"/>
    <w:rsid w:val="0081352C"/>
    <w:rsid w:val="00836320"/>
    <w:rsid w:val="0085133F"/>
    <w:rsid w:val="00852AAD"/>
    <w:rsid w:val="0087221E"/>
    <w:rsid w:val="008755FB"/>
    <w:rsid w:val="008756F8"/>
    <w:rsid w:val="008A23F8"/>
    <w:rsid w:val="008A3110"/>
    <w:rsid w:val="008B1479"/>
    <w:rsid w:val="008B5FDB"/>
    <w:rsid w:val="008B7F6E"/>
    <w:rsid w:val="00912266"/>
    <w:rsid w:val="009375DC"/>
    <w:rsid w:val="00940202"/>
    <w:rsid w:val="00944E3B"/>
    <w:rsid w:val="00947800"/>
    <w:rsid w:val="00953EE0"/>
    <w:rsid w:val="00954793"/>
    <w:rsid w:val="00954DBD"/>
    <w:rsid w:val="00955884"/>
    <w:rsid w:val="0097764C"/>
    <w:rsid w:val="009A1B72"/>
    <w:rsid w:val="009D0040"/>
    <w:rsid w:val="009D709A"/>
    <w:rsid w:val="00A20F03"/>
    <w:rsid w:val="00A31AD6"/>
    <w:rsid w:val="00A320B1"/>
    <w:rsid w:val="00A40974"/>
    <w:rsid w:val="00A54595"/>
    <w:rsid w:val="00A837EA"/>
    <w:rsid w:val="00AA51FF"/>
    <w:rsid w:val="00AB5EC1"/>
    <w:rsid w:val="00AC7D19"/>
    <w:rsid w:val="00B0109A"/>
    <w:rsid w:val="00B04E97"/>
    <w:rsid w:val="00B06DA7"/>
    <w:rsid w:val="00B5665D"/>
    <w:rsid w:val="00B65EBE"/>
    <w:rsid w:val="00B673C4"/>
    <w:rsid w:val="00B84D8D"/>
    <w:rsid w:val="00BA3973"/>
    <w:rsid w:val="00BB0DE8"/>
    <w:rsid w:val="00BB2034"/>
    <w:rsid w:val="00BB4B0B"/>
    <w:rsid w:val="00BC0F93"/>
    <w:rsid w:val="00BC6C0B"/>
    <w:rsid w:val="00BE1805"/>
    <w:rsid w:val="00BF0FF8"/>
    <w:rsid w:val="00BF1983"/>
    <w:rsid w:val="00C02E4C"/>
    <w:rsid w:val="00C35B43"/>
    <w:rsid w:val="00C41489"/>
    <w:rsid w:val="00C510B2"/>
    <w:rsid w:val="00C51114"/>
    <w:rsid w:val="00CB303A"/>
    <w:rsid w:val="00CF5E26"/>
    <w:rsid w:val="00D0558A"/>
    <w:rsid w:val="00D2092A"/>
    <w:rsid w:val="00D219B0"/>
    <w:rsid w:val="00D278A3"/>
    <w:rsid w:val="00D67D4B"/>
    <w:rsid w:val="00D84A21"/>
    <w:rsid w:val="00D94669"/>
    <w:rsid w:val="00DA0CE9"/>
    <w:rsid w:val="00DC4F50"/>
    <w:rsid w:val="00DD3275"/>
    <w:rsid w:val="00DE100B"/>
    <w:rsid w:val="00E017AC"/>
    <w:rsid w:val="00E0676F"/>
    <w:rsid w:val="00E14724"/>
    <w:rsid w:val="00E31082"/>
    <w:rsid w:val="00E3323F"/>
    <w:rsid w:val="00E40090"/>
    <w:rsid w:val="00E909A6"/>
    <w:rsid w:val="00EA147F"/>
    <w:rsid w:val="00EA3577"/>
    <w:rsid w:val="00EA7106"/>
    <w:rsid w:val="00EA717C"/>
    <w:rsid w:val="00ED209B"/>
    <w:rsid w:val="00EE395A"/>
    <w:rsid w:val="00F208EC"/>
    <w:rsid w:val="00F26119"/>
    <w:rsid w:val="00F34519"/>
    <w:rsid w:val="00F35939"/>
    <w:rsid w:val="00F40554"/>
    <w:rsid w:val="00F679DE"/>
    <w:rsid w:val="00F867C4"/>
    <w:rsid w:val="00FA06B9"/>
    <w:rsid w:val="00FA6F1F"/>
    <w:rsid w:val="00FE7527"/>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458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501570">
      <w:bodyDiv w:val="1"/>
      <w:marLeft w:val="0"/>
      <w:marRight w:val="0"/>
      <w:marTop w:val="0"/>
      <w:marBottom w:val="0"/>
      <w:divBdr>
        <w:top w:val="none" w:sz="0" w:space="0" w:color="auto"/>
        <w:left w:val="none" w:sz="0" w:space="0" w:color="auto"/>
        <w:bottom w:val="none" w:sz="0" w:space="0" w:color="auto"/>
        <w:right w:val="none" w:sz="0" w:space="0" w:color="auto"/>
      </w:divBdr>
    </w:div>
    <w:div w:id="637413731">
      <w:bodyDiv w:val="1"/>
      <w:marLeft w:val="0"/>
      <w:marRight w:val="0"/>
      <w:marTop w:val="0"/>
      <w:marBottom w:val="0"/>
      <w:divBdr>
        <w:top w:val="none" w:sz="0" w:space="0" w:color="auto"/>
        <w:left w:val="none" w:sz="0" w:space="0" w:color="auto"/>
        <w:bottom w:val="none" w:sz="0" w:space="0" w:color="auto"/>
        <w:right w:val="none" w:sz="0" w:space="0" w:color="auto"/>
      </w:divBdr>
    </w:div>
    <w:div w:id="665982367">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199587674">
      <w:bodyDiv w:val="1"/>
      <w:marLeft w:val="0"/>
      <w:marRight w:val="0"/>
      <w:marTop w:val="0"/>
      <w:marBottom w:val="0"/>
      <w:divBdr>
        <w:top w:val="none" w:sz="0" w:space="0" w:color="auto"/>
        <w:left w:val="none" w:sz="0" w:space="0" w:color="auto"/>
        <w:bottom w:val="none" w:sz="0" w:space="0" w:color="auto"/>
        <w:right w:val="none" w:sz="0" w:space="0" w:color="auto"/>
      </w:divBdr>
    </w:div>
    <w:div w:id="167669053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image008.png@01D5A07A.53390E00" TargetMode="Externa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cid:image001.png@01D59ED9.7C221D4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ortia\Google%20Drive\Documents\2019%20Season%20Summaries\1_Portia\2019%20Citrus%20data%20and%20graph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Southern African Soft Citr</a:t>
            </a:r>
            <a:r>
              <a:rPr lang="en-ZA" sz="1200"/>
              <a:t>us Exports 15kg Cartons </a:t>
            </a:r>
            <a:endParaRPr lang="en-US" sz="1200"/>
          </a:p>
        </c:rich>
      </c:tx>
      <c:layout>
        <c:manualLayout>
          <c:xMode val="edge"/>
          <c:yMode val="edge"/>
          <c:x val="0.13983692038495188"/>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470224555263925"/>
          <c:y val="0.15349698934691988"/>
          <c:w val="0.8952606249833821"/>
          <c:h val="0.72332021363234245"/>
        </c:manualLayout>
      </c:layout>
      <c:barChart>
        <c:barDir val="col"/>
        <c:grouping val="clustered"/>
        <c:varyColors val="0"/>
        <c:ser>
          <c:idx val="0"/>
          <c:order val="0"/>
          <c:tx>
            <c:strRef>
              <c:f>'Soft Citrus'!$B$18:$B$20</c:f>
              <c:strCache>
                <c:ptCount val="3"/>
                <c:pt idx="2">
                  <c:v>South Africa</c:v>
                </c:pt>
              </c:strCache>
            </c:strRef>
          </c:tx>
          <c:spPr>
            <a:solidFill>
              <a:schemeClr val="accent2"/>
            </a:solidFill>
            <a:ln>
              <a:noFill/>
            </a:ln>
            <a:effectLst/>
          </c:spPr>
          <c:invertIfNegative val="0"/>
          <c:dPt>
            <c:idx val="5"/>
            <c:invertIfNegative val="0"/>
            <c:bubble3D val="0"/>
            <c:extLst xmlns:c16r2="http://schemas.microsoft.com/office/drawing/2015/06/chart">
              <c:ext xmlns:c16="http://schemas.microsoft.com/office/drawing/2014/chart" uri="{C3380CC4-5D6E-409C-BE32-E72D297353CC}">
                <c16:uniqueId val="{00000000-6943-4FD1-9B29-2B7707D3D577}"/>
              </c:ext>
            </c:extLst>
          </c:dPt>
          <c:dPt>
            <c:idx val="9"/>
            <c:invertIfNegative val="0"/>
            <c:bubble3D val="0"/>
            <c:spPr>
              <a:pattFill prst="dkUpDiag">
                <a:fgClr>
                  <a:schemeClr val="accent6"/>
                </a:fgClr>
                <a:bgClr>
                  <a:schemeClr val="bg1"/>
                </a:bgClr>
              </a:pattFill>
              <a:ln>
                <a:noFill/>
              </a:ln>
              <a:effectLst/>
            </c:spPr>
            <c:extLst xmlns:c16r2="http://schemas.microsoft.com/office/drawing/2015/06/chart">
              <c:ext xmlns:c16="http://schemas.microsoft.com/office/drawing/2014/chart" uri="{C3380CC4-5D6E-409C-BE32-E72D297353CC}">
                <c16:uniqueId val="{00000002-6943-4FD1-9B29-2B7707D3D577}"/>
              </c:ext>
            </c:extLst>
          </c:dPt>
          <c:dPt>
            <c:idx val="11"/>
            <c:invertIfNegative val="0"/>
            <c:bubble3D val="0"/>
            <c:extLst xmlns:c16r2="http://schemas.microsoft.com/office/drawing/2015/06/chart">
              <c:ext xmlns:c16="http://schemas.microsoft.com/office/drawing/2014/chart" uri="{C3380CC4-5D6E-409C-BE32-E72D297353CC}">
                <c16:uniqueId val="{00000003-6943-4FD1-9B29-2B7707D3D577}"/>
              </c:ext>
            </c:extLst>
          </c:dPt>
          <c:dPt>
            <c:idx val="12"/>
            <c:invertIfNegative val="0"/>
            <c:bubble3D val="0"/>
            <c:extLst xmlns:c16r2="http://schemas.microsoft.com/office/drawing/2015/06/chart">
              <c:ext xmlns:c16="http://schemas.microsoft.com/office/drawing/2014/chart" uri="{C3380CC4-5D6E-409C-BE32-E72D297353CC}">
                <c16:uniqueId val="{00000004-6943-4FD1-9B29-2B7707D3D577}"/>
              </c:ext>
            </c:extLst>
          </c:dPt>
          <c:cat>
            <c:strRef>
              <c:f>'Soft Citrus'!$A$26:$A$36</c:f>
              <c:strCache>
                <c:ptCount val="10"/>
                <c:pt idx="0">
                  <c:v>2010 </c:v>
                </c:pt>
                <c:pt idx="1">
                  <c:v>2011 </c:v>
                </c:pt>
                <c:pt idx="2">
                  <c:v>2012 </c:v>
                </c:pt>
                <c:pt idx="3">
                  <c:v>2013 </c:v>
                </c:pt>
                <c:pt idx="4">
                  <c:v>2014 </c:v>
                </c:pt>
                <c:pt idx="5">
                  <c:v>2015 </c:v>
                </c:pt>
                <c:pt idx="6">
                  <c:v>2016 </c:v>
                </c:pt>
                <c:pt idx="7">
                  <c:v>2017 </c:v>
                </c:pt>
                <c:pt idx="8">
                  <c:v>2018 </c:v>
                </c:pt>
                <c:pt idx="9">
                  <c:v>2019</c:v>
                </c:pt>
              </c:strCache>
              <c:extLst xmlns:c16r2="http://schemas.microsoft.com/office/drawing/2015/06/chart"/>
            </c:strRef>
          </c:cat>
          <c:val>
            <c:numRef>
              <c:f>'Soft Citrus'!$B$26:$B$36</c:f>
              <c:numCache>
                <c:formatCode>_ * #,##0_ ;_ * \-#,##0_ ;_ * "-"??_ ;_ @_ </c:formatCode>
                <c:ptCount val="10"/>
                <c:pt idx="0">
                  <c:v>7527519</c:v>
                </c:pt>
                <c:pt idx="1">
                  <c:v>6907855</c:v>
                </c:pt>
                <c:pt idx="2">
                  <c:v>7640712</c:v>
                </c:pt>
                <c:pt idx="3">
                  <c:v>8442205</c:v>
                </c:pt>
                <c:pt idx="4">
                  <c:v>9957944</c:v>
                </c:pt>
                <c:pt idx="5">
                  <c:v>9987703</c:v>
                </c:pt>
                <c:pt idx="6">
                  <c:v>12179202</c:v>
                </c:pt>
                <c:pt idx="7">
                  <c:v>13415452</c:v>
                </c:pt>
                <c:pt idx="8">
                  <c:v>16170974</c:v>
                </c:pt>
                <c:pt idx="9">
                  <c:v>18239153</c:v>
                </c:pt>
              </c:numCache>
              <c:extLst xmlns:c16r2="http://schemas.microsoft.com/office/drawing/2015/06/chart"/>
            </c:numRef>
          </c:val>
          <c:extLst xmlns:c16r2="http://schemas.microsoft.com/office/drawing/2015/06/chart">
            <c:ext xmlns:c16="http://schemas.microsoft.com/office/drawing/2014/chart" uri="{C3380CC4-5D6E-409C-BE32-E72D297353CC}">
              <c16:uniqueId val="{00000005-6943-4FD1-9B29-2B7707D3D577}"/>
            </c:ext>
          </c:extLst>
        </c:ser>
        <c:dLbls>
          <c:showLegendKey val="0"/>
          <c:showVal val="0"/>
          <c:showCatName val="0"/>
          <c:showSerName val="0"/>
          <c:showPercent val="0"/>
          <c:showBubbleSize val="0"/>
        </c:dLbls>
        <c:gapWidth val="219"/>
        <c:overlap val="-27"/>
        <c:axId val="365917216"/>
        <c:axId val="365917608"/>
      </c:barChart>
      <c:catAx>
        <c:axId val="36591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5917608"/>
        <c:crosses val="autoZero"/>
        <c:auto val="1"/>
        <c:lblAlgn val="ctr"/>
        <c:lblOffset val="100"/>
        <c:noMultiLvlLbl val="0"/>
      </c:catAx>
      <c:valAx>
        <c:axId val="365917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t>15kg Equivalent cartons</a:t>
                </a:r>
                <a:r>
                  <a:rPr lang="en-US"/>
                  <a:t> </a:t>
                </a:r>
              </a:p>
            </c:rich>
          </c:tx>
          <c:layout>
            <c:manualLayout>
              <c:xMode val="edge"/>
              <c:yMode val="edge"/>
              <c:x val="1.8239760550915216E-3"/>
              <c:y val="0.1786130580903481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5917216"/>
        <c:crosses val="autoZero"/>
        <c:crossBetween val="between"/>
        <c:dispUnits>
          <c:builtInUnit val="millions"/>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dcterms:created xsi:type="dcterms:W3CDTF">2019-11-26T08:37:00Z</dcterms:created>
  <dcterms:modified xsi:type="dcterms:W3CDTF">2019-11-26T08:37:00Z</dcterms:modified>
</cp:coreProperties>
</file>