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Pr="008A255E" w:rsidRDefault="008A255E" w:rsidP="00B416E0">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8A255E">
                    <w:rPr>
                      <w:rFonts w:ascii="Comic Sans MS" w:hAnsi="Comic Sans MS"/>
                      <w:b/>
                      <w:i/>
                      <w:noProof/>
                      <w:sz w:val="32"/>
                      <w:szCs w:val="32"/>
                      <w:lang w:val="af-ZA"/>
                    </w:rPr>
                    <w:t xml:space="preserve"> CEO</w:t>
                  </w:r>
                  <w:r w:rsidR="00A31EF8" w:rsidRPr="008A255E">
                    <w:rPr>
                      <w:rFonts w:ascii="Comic Sans MS" w:hAnsi="Comic Sans MS"/>
                      <w:b/>
                      <w:i/>
                      <w:noProof/>
                      <w:sz w:val="32"/>
                      <w:szCs w:val="32"/>
                      <w:lang w:val="af-ZA"/>
                    </w:rPr>
                    <w:t xml:space="preserve"> (38</w:t>
                  </w:r>
                  <w:r w:rsidR="00B416E0" w:rsidRPr="008A255E">
                    <w:rPr>
                      <w:rFonts w:ascii="Comic Sans MS" w:hAnsi="Comic Sans MS"/>
                      <w:b/>
                      <w:i/>
                      <w:noProof/>
                      <w:sz w:val="32"/>
                      <w:szCs w:val="32"/>
                      <w:lang w:val="af-ZA"/>
                    </w:rPr>
                    <w:t>/18)</w:t>
                  </w:r>
                </w:p>
                <w:p w:rsidR="00B416E0" w:rsidRPr="008A255E" w:rsidRDefault="00B416E0" w:rsidP="00B416E0">
                  <w:pPr>
                    <w:spacing w:after="0" w:line="240" w:lineRule="auto"/>
                    <w:rPr>
                      <w:rFonts w:ascii="Comic Sans MS" w:hAnsi="Comic Sans MS"/>
                      <w:b/>
                      <w:noProof/>
                      <w:color w:val="00B050"/>
                      <w:sz w:val="20"/>
                      <w:szCs w:val="20"/>
                      <w:lang w:val="af-ZA"/>
                    </w:rPr>
                  </w:pPr>
                  <w:r w:rsidRPr="008A255E">
                    <w:rPr>
                      <w:rFonts w:ascii="Comic Sans MS" w:hAnsi="Comic Sans MS"/>
                      <w:b/>
                      <w:noProof/>
                      <w:color w:val="00B050"/>
                      <w:sz w:val="20"/>
                      <w:szCs w:val="20"/>
                      <w:lang w:val="af-ZA"/>
                    </w:rPr>
                    <w:t>(</w:t>
                  </w:r>
                  <w:r w:rsidR="008A255E">
                    <w:rPr>
                      <w:rFonts w:ascii="Comic Sans MS" w:hAnsi="Comic Sans MS"/>
                      <w:b/>
                      <w:noProof/>
                      <w:color w:val="00B050"/>
                      <w:sz w:val="20"/>
                      <w:szCs w:val="20"/>
                      <w:lang w:val="af-ZA"/>
                    </w:rPr>
                    <w:t xml:space="preserve">Volg my op </w:t>
                  </w:r>
                  <w:r w:rsidRPr="008A255E">
                    <w:rPr>
                      <w:rFonts w:ascii="Comic Sans MS" w:hAnsi="Comic Sans MS"/>
                      <w:b/>
                      <w:noProof/>
                      <w:color w:val="00B050"/>
                      <w:sz w:val="20"/>
                      <w:szCs w:val="20"/>
                      <w:lang w:val="af-ZA"/>
                    </w:rPr>
                    <w:t>Twitter justchad_cga)</w:t>
                  </w:r>
                </w:p>
                <w:p w:rsidR="00B416E0" w:rsidRPr="008A255E" w:rsidRDefault="00B416E0" w:rsidP="00B416E0">
                  <w:pPr>
                    <w:spacing w:after="120" w:line="240" w:lineRule="auto"/>
                    <w:rPr>
                      <w:rFonts w:ascii="Comic Sans MS" w:hAnsi="Comic Sans MS"/>
                      <w:i/>
                      <w:noProof/>
                      <w:sz w:val="2"/>
                      <w:szCs w:val="20"/>
                      <w:lang w:val="af-ZA"/>
                    </w:rPr>
                  </w:pPr>
                </w:p>
                <w:p w:rsidR="00B416E0" w:rsidRPr="008A255E" w:rsidRDefault="004F23C5" w:rsidP="00E36139">
                  <w:pPr>
                    <w:spacing w:after="120" w:line="240" w:lineRule="auto"/>
                    <w:rPr>
                      <w:rFonts w:ascii="Comic Sans MS" w:hAnsi="Comic Sans MS"/>
                      <w:i/>
                      <w:noProof/>
                      <w:sz w:val="20"/>
                      <w:szCs w:val="20"/>
                      <w:lang w:val="af-ZA"/>
                    </w:rPr>
                  </w:pPr>
                  <w:r w:rsidRPr="008A255E">
                    <w:rPr>
                      <w:rFonts w:ascii="Comic Sans MS" w:hAnsi="Comic Sans MS"/>
                      <w:i/>
                      <w:noProof/>
                      <w:sz w:val="20"/>
                      <w:szCs w:val="20"/>
                      <w:lang w:val="af-ZA"/>
                    </w:rPr>
                    <w:t xml:space="preserve">Justin Chadwick </w:t>
                  </w:r>
                  <w:r w:rsidR="00A31EF8" w:rsidRPr="008A255E">
                    <w:rPr>
                      <w:rFonts w:ascii="Comic Sans MS" w:hAnsi="Comic Sans MS"/>
                      <w:i/>
                      <w:noProof/>
                      <w:sz w:val="20"/>
                      <w:szCs w:val="20"/>
                      <w:lang w:val="af-ZA"/>
                    </w:rPr>
                    <w:t>21</w:t>
                  </w:r>
                  <w:r w:rsidR="008F330B" w:rsidRPr="008A255E">
                    <w:rPr>
                      <w:rFonts w:ascii="Comic Sans MS" w:hAnsi="Comic Sans MS"/>
                      <w:i/>
                      <w:noProof/>
                      <w:sz w:val="20"/>
                      <w:szCs w:val="20"/>
                      <w:lang w:val="af-ZA"/>
                    </w:rPr>
                    <w:t xml:space="preserve"> September</w:t>
                  </w:r>
                  <w:r w:rsidR="00B416E0" w:rsidRPr="008A255E">
                    <w:rPr>
                      <w:rFonts w:ascii="Comic Sans MS" w:hAnsi="Comic Sans MS"/>
                      <w:i/>
                      <w:noProof/>
                      <w:sz w:val="20"/>
                      <w:szCs w:val="20"/>
                      <w:lang w:val="af-ZA"/>
                    </w:rPr>
                    <w:t xml:space="preserve"> 2018</w:t>
                  </w:r>
                  <w:r w:rsidR="00B416E0" w:rsidRPr="008A255E">
                    <w:rPr>
                      <w:rFonts w:ascii="Comic Sans MS" w:hAnsi="Comic Sans MS"/>
                      <w:b/>
                      <w:i/>
                      <w:noProof/>
                      <w:sz w:val="32"/>
                      <w:szCs w:val="32"/>
                      <w:lang w:val="af-ZA"/>
                    </w:rPr>
                    <w:t xml:space="preserve">             </w:t>
                  </w:r>
                  <w:r w:rsidR="00B416E0" w:rsidRPr="008A255E">
                    <w:rPr>
                      <w:rFonts w:ascii="Times New Roman" w:hAnsi="Times New Roman"/>
                      <w:noProof/>
                      <w:sz w:val="24"/>
                      <w:szCs w:val="24"/>
                      <w:lang w:val="af-ZA"/>
                    </w:rPr>
                    <w:t xml:space="preserve"> </w:t>
                  </w:r>
                </w:p>
              </w:tc>
              <w:tc>
                <w:tcPr>
                  <w:tcW w:w="6662" w:type="dxa"/>
                  <w:gridSpan w:val="3"/>
                  <w:shd w:val="clear" w:color="auto" w:fill="auto"/>
                </w:tcPr>
                <w:p w:rsidR="00B416E0" w:rsidRPr="008A255E" w:rsidRDefault="00E36139" w:rsidP="00B416E0">
                  <w:pPr>
                    <w:spacing w:after="0" w:line="240" w:lineRule="auto"/>
                    <w:ind w:right="-353"/>
                    <w:rPr>
                      <w:rFonts w:ascii="Comic Sans MS" w:hAnsi="Comic Sans MS"/>
                      <w:b/>
                      <w:i/>
                      <w:noProof/>
                      <w:sz w:val="32"/>
                      <w:szCs w:val="32"/>
                      <w:lang w:val="af-ZA"/>
                    </w:rPr>
                  </w:pPr>
                  <w:r w:rsidRPr="008A255E">
                    <w:rPr>
                      <w:noProof/>
                      <w:lang w:val="en-US"/>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B416E0" w:rsidRPr="008A255E" w:rsidRDefault="00B636C9" w:rsidP="00A072C8">
                  <w:pPr>
                    <w:pStyle w:val="NormalWeb"/>
                    <w:widowControl w:val="0"/>
                    <w:spacing w:before="0" w:beforeAutospacing="0" w:after="0" w:afterAutospacing="0"/>
                    <w:jc w:val="both"/>
                    <w:rPr>
                      <w:rFonts w:ascii="Arial" w:hAnsi="Arial" w:cs="Arial"/>
                      <w:b/>
                      <w:i/>
                      <w:noProof/>
                      <w:color w:val="auto"/>
                      <w:lang w:val="af-ZA"/>
                    </w:rPr>
                  </w:pPr>
                  <w:r w:rsidRPr="008A255E">
                    <w:rPr>
                      <w:rFonts w:ascii="Arial" w:hAnsi="Arial" w:cs="Arial"/>
                      <w:b/>
                      <w:i/>
                      <w:noProof/>
                      <w:color w:val="auto"/>
                      <w:lang w:val="af-ZA"/>
                    </w:rPr>
                    <w:t>“</w:t>
                  </w:r>
                  <w:r w:rsidR="00007784" w:rsidRPr="008A255E">
                    <w:rPr>
                      <w:rFonts w:ascii="Arial" w:hAnsi="Arial" w:cs="Arial"/>
                      <w:b/>
                      <w:i/>
                      <w:noProof/>
                      <w:color w:val="auto"/>
                      <w:lang w:val="af-ZA"/>
                    </w:rPr>
                    <w:t>Man’s mind, once stretched by a new idea, never regains its original dimensions” Oliver Wendell Holmes Jr.</w:t>
                  </w:r>
                </w:p>
                <w:p w:rsidR="009C1790" w:rsidRPr="008A255E" w:rsidRDefault="009C1790" w:rsidP="00A072C8">
                  <w:pPr>
                    <w:pStyle w:val="NormalWeb"/>
                    <w:widowControl w:val="0"/>
                    <w:spacing w:before="0" w:beforeAutospacing="0" w:after="0" w:afterAutospacing="0"/>
                    <w:jc w:val="both"/>
                    <w:rPr>
                      <w:rFonts w:ascii="Arial" w:hAnsi="Arial" w:cs="Arial"/>
                      <w:b/>
                      <w:i/>
                      <w:noProof/>
                      <w:color w:val="auto"/>
                      <w:sz w:val="6"/>
                      <w:szCs w:val="6"/>
                      <w:lang w:val="af-ZA"/>
                    </w:rPr>
                  </w:pPr>
                </w:p>
                <w:p w:rsidR="00B1747C" w:rsidRPr="00B1747C" w:rsidRDefault="00B1747C" w:rsidP="00B1747C">
                  <w:pPr>
                    <w:spacing w:after="0"/>
                    <w:jc w:val="both"/>
                    <w:rPr>
                      <w:rFonts w:ascii="Arial" w:eastAsiaTheme="minorHAnsi" w:hAnsi="Arial" w:cs="Arial"/>
                      <w:b/>
                      <w:noProof/>
                      <w:color w:val="0070C0"/>
                      <w:sz w:val="24"/>
                      <w:szCs w:val="24"/>
                      <w:u w:val="single"/>
                      <w:lang w:val="af-ZA"/>
                    </w:rPr>
                  </w:pPr>
                  <w:r w:rsidRPr="00B1747C">
                    <w:rPr>
                      <w:rFonts w:ascii="Arial" w:eastAsiaTheme="minorHAnsi" w:hAnsi="Arial" w:cs="Arial"/>
                      <w:b/>
                      <w:noProof/>
                      <w:color w:val="0070C0"/>
                      <w:sz w:val="24"/>
                      <w:szCs w:val="24"/>
                      <w:u w:val="single"/>
                      <w:lang w:val="af-ZA"/>
                    </w:rPr>
                    <w:t>CRI TEGNIESE TOEKENNING 2018</w:t>
                  </w:r>
                </w:p>
                <w:p w:rsidR="00B1747C" w:rsidRPr="00B1747C" w:rsidRDefault="00B1747C" w:rsidP="00B1747C">
                  <w:pPr>
                    <w:spacing w:after="0"/>
                    <w:jc w:val="both"/>
                    <w:rPr>
                      <w:rFonts w:ascii="Arial" w:eastAsiaTheme="minorHAnsi" w:hAnsi="Arial" w:cs="Arial"/>
                      <w:noProof/>
                      <w:sz w:val="24"/>
                      <w:szCs w:val="24"/>
                      <w:lang w:val="af-ZA"/>
                    </w:rPr>
                  </w:pPr>
                  <w:r w:rsidRPr="00B1747C">
                    <w:rPr>
                      <w:rFonts w:ascii="Arial" w:eastAsiaTheme="minorHAnsi" w:hAnsi="Arial" w:cs="Arial"/>
                      <w:noProof/>
                      <w:sz w:val="24"/>
                      <w:szCs w:val="24"/>
                      <w:lang w:val="af-ZA"/>
                    </w:rPr>
                    <w:t>Volgens tradisie het dr Vaughan Hattingh diegene erken wat tot die sukses van Suider-Afrika se sitrusbedryf bygedra het, deur hulle met die CRI Tegniese Toekenning te beloon. Hierdie  is 'n uittreksel uit die toekenningsrede by die onlangse CRI Sitrus Simposium:</w:t>
                  </w:r>
                </w:p>
                <w:p w:rsidR="00B1747C" w:rsidRPr="00B1747C" w:rsidRDefault="00B1747C" w:rsidP="00B1747C">
                  <w:pPr>
                    <w:spacing w:after="0"/>
                    <w:jc w:val="both"/>
                    <w:rPr>
                      <w:rFonts w:ascii="Arial" w:eastAsiaTheme="minorHAnsi" w:hAnsi="Arial" w:cs="Arial"/>
                      <w:i/>
                      <w:noProof/>
                      <w:sz w:val="24"/>
                      <w:szCs w:val="24"/>
                      <w:lang w:val="af-ZA"/>
                    </w:rPr>
                  </w:pPr>
                  <w:r w:rsidRPr="00B1747C">
                    <w:rPr>
                      <w:rFonts w:ascii="Arial" w:eastAsiaTheme="minorHAnsi" w:hAnsi="Arial" w:cs="Arial"/>
                      <w:i/>
                      <w:noProof/>
                      <w:sz w:val="24"/>
                      <w:szCs w:val="24"/>
                      <w:lang w:val="af-ZA"/>
                    </w:rPr>
                    <w:t>Die ontvanger het 'n BSc (Agric) en Honneursgraad in Hortologie aan die Universiteit van Stellenbosch behaal. Hy het sy navorsingsloopbaan as deel van die kultivar</w:t>
                  </w:r>
                  <w:r w:rsidR="007922AA">
                    <w:rPr>
                      <w:rFonts w:ascii="Arial" w:eastAsiaTheme="minorHAnsi" w:hAnsi="Arial" w:cs="Arial"/>
                      <w:i/>
                      <w:noProof/>
                      <w:sz w:val="24"/>
                      <w:szCs w:val="24"/>
                      <w:lang w:val="af-ZA"/>
                    </w:rPr>
                    <w:t>-</w:t>
                  </w:r>
                  <w:r w:rsidRPr="00B1747C">
                    <w:rPr>
                      <w:rFonts w:ascii="Arial" w:eastAsiaTheme="minorHAnsi" w:hAnsi="Arial" w:cs="Arial"/>
                      <w:i/>
                      <w:noProof/>
                      <w:sz w:val="24"/>
                      <w:szCs w:val="24"/>
                      <w:lang w:val="af-ZA"/>
                    </w:rPr>
                    <w:t>ontwikkeling</w:t>
                  </w:r>
                  <w:r w:rsidR="007922AA">
                    <w:rPr>
                      <w:rFonts w:ascii="Arial" w:eastAsiaTheme="minorHAnsi" w:hAnsi="Arial" w:cs="Arial"/>
                      <w:i/>
                      <w:noProof/>
                      <w:sz w:val="24"/>
                      <w:szCs w:val="24"/>
                      <w:lang w:val="af-ZA"/>
                    </w:rPr>
                    <w:t>-</w:t>
                  </w:r>
                  <w:r w:rsidRPr="00B1747C">
                    <w:rPr>
                      <w:rFonts w:ascii="Arial" w:eastAsiaTheme="minorHAnsi" w:hAnsi="Arial" w:cs="Arial"/>
                      <w:i/>
                      <w:noProof/>
                      <w:sz w:val="24"/>
                      <w:szCs w:val="24"/>
                      <w:lang w:val="af-ZA"/>
                    </w:rPr>
                    <w:t xml:space="preserve"> en kwekery-sertifiseringspan begin. Daarna het hy 'n MSc Agric aan die Universiteit van Pretoria voltooi en toe 'n PhD aan die Universiteit van Kalifornië, Riverside. By sy terugkeer na Suid-Afrika is hy as 'n tuinboukundige navorser by OCC in Nelspruit aangestel, voordat hy in 1988 as Bestuurder: Produksie Navorsing in 1988 aangestel is. In die 1990's het hy homself by die Universiteit van Stellenbosch geplaas en later na Kalifornië verskuif.</w:t>
                  </w:r>
                  <w:r>
                    <w:rPr>
                      <w:rFonts w:ascii="Arial" w:eastAsiaTheme="minorHAnsi" w:hAnsi="Arial" w:cs="Arial"/>
                      <w:i/>
                      <w:noProof/>
                      <w:sz w:val="24"/>
                      <w:szCs w:val="24"/>
                      <w:lang w:val="af-ZA"/>
                    </w:rPr>
                    <w:t xml:space="preserve"> </w:t>
                  </w:r>
                  <w:r w:rsidRPr="00B1747C">
                    <w:rPr>
                      <w:rFonts w:ascii="Arial" w:eastAsiaTheme="minorHAnsi" w:hAnsi="Arial" w:cs="Arial"/>
                      <w:i/>
                      <w:noProof/>
                      <w:sz w:val="24"/>
                      <w:szCs w:val="24"/>
                      <w:lang w:val="af-ZA"/>
                    </w:rPr>
                    <w:t>As hortoloog het hy internasionale erkenning vir sy navorsing oor vrugkwaliteit en produksieverbetering behaal. Dit sluit inkorporering van ureum in winterspuitprogramme om blom en vrugset onder Suid-Afrikaanse toestande te verbeter</w:t>
                  </w:r>
                  <w:r>
                    <w:rPr>
                      <w:rFonts w:ascii="Arial" w:eastAsiaTheme="minorHAnsi" w:hAnsi="Arial" w:cs="Arial"/>
                      <w:i/>
                      <w:noProof/>
                      <w:sz w:val="24"/>
                      <w:szCs w:val="24"/>
                      <w:lang w:val="af-ZA"/>
                    </w:rPr>
                    <w:t>, in</w:t>
                  </w:r>
                  <w:r w:rsidRPr="00B1747C">
                    <w:rPr>
                      <w:rFonts w:ascii="Arial" w:eastAsiaTheme="minorHAnsi" w:hAnsi="Arial" w:cs="Arial"/>
                      <w:i/>
                      <w:noProof/>
                      <w:sz w:val="24"/>
                      <w:szCs w:val="24"/>
                      <w:lang w:val="af-ZA"/>
                    </w:rPr>
                    <w:t xml:space="preserve">. Dit is gevolg deur die ontwikkeling van strategieë om sintetiese </w:t>
                  </w:r>
                  <w:r w:rsidR="007922AA">
                    <w:rPr>
                      <w:rFonts w:ascii="Arial" w:eastAsiaTheme="minorHAnsi" w:hAnsi="Arial" w:cs="Arial"/>
                      <w:i/>
                      <w:noProof/>
                      <w:sz w:val="24"/>
                      <w:szCs w:val="24"/>
                      <w:lang w:val="af-ZA"/>
                    </w:rPr>
                    <w:t xml:space="preserve">ouksiene </w:t>
                  </w:r>
                  <w:r w:rsidRPr="00B1747C">
                    <w:rPr>
                      <w:rFonts w:ascii="Arial" w:eastAsiaTheme="minorHAnsi" w:hAnsi="Arial" w:cs="Arial"/>
                      <w:i/>
                      <w:noProof/>
                      <w:sz w:val="24"/>
                      <w:szCs w:val="24"/>
                      <w:lang w:val="af-ZA"/>
                    </w:rPr>
                    <w:t xml:space="preserve">en </w:t>
                  </w:r>
                  <w:r w:rsidR="007922AA" w:rsidRPr="007922AA">
                    <w:rPr>
                      <w:rFonts w:ascii="Arial" w:hAnsi="Arial" w:cs="Arial"/>
                      <w:i/>
                      <w:iCs/>
                      <w:sz w:val="24"/>
                      <w:szCs w:val="24"/>
                      <w:lang w:val="af-ZA"/>
                    </w:rPr>
                    <w:t xml:space="preserve">gibberilliensuur </w:t>
                  </w:r>
                  <w:r w:rsidRPr="007922AA">
                    <w:rPr>
                      <w:rFonts w:ascii="Arial" w:eastAsiaTheme="minorHAnsi" w:hAnsi="Arial" w:cs="Arial"/>
                      <w:i/>
                      <w:noProof/>
                      <w:sz w:val="24"/>
                      <w:szCs w:val="24"/>
                      <w:lang w:val="af-ZA"/>
                    </w:rPr>
                    <w:t>te</w:t>
                  </w:r>
                  <w:r w:rsidRPr="00B1747C">
                    <w:rPr>
                      <w:rFonts w:ascii="Arial" w:eastAsiaTheme="minorHAnsi" w:hAnsi="Arial" w:cs="Arial"/>
                      <w:i/>
                      <w:noProof/>
                      <w:sz w:val="24"/>
                      <w:szCs w:val="24"/>
                      <w:lang w:val="af-ZA"/>
                    </w:rPr>
                    <w:t xml:space="preserve"> gebruik om die opbrengs en vruggrootte te verbeter. Hy was ook instrumenteel in die bedryf se implementering van Ope Hidroponiese Sisteme en optimale snoeitegnieke.</w:t>
                  </w:r>
                  <w:r>
                    <w:rPr>
                      <w:rFonts w:ascii="Arial" w:eastAsiaTheme="minorHAnsi" w:hAnsi="Arial" w:cs="Arial"/>
                      <w:i/>
                      <w:noProof/>
                      <w:sz w:val="24"/>
                      <w:szCs w:val="24"/>
                      <w:lang w:val="af-ZA"/>
                    </w:rPr>
                    <w:t xml:space="preserve"> </w:t>
                  </w:r>
                  <w:r w:rsidRPr="00B1747C">
                    <w:rPr>
                      <w:rFonts w:ascii="Arial" w:eastAsiaTheme="minorHAnsi" w:hAnsi="Arial" w:cs="Arial"/>
                      <w:i/>
                      <w:noProof/>
                      <w:sz w:val="24"/>
                      <w:szCs w:val="24"/>
                      <w:lang w:val="af-ZA"/>
                    </w:rPr>
                    <w:t xml:space="preserve">In die vroeë 1990's het die bedryf vining sy sagte sitrus aanplantings uitgebrei, met baie min produksieriglyne vir produsente beskikbaar. Hy het die navorsing gelei wat effektiewe </w:t>
                  </w:r>
                  <w:r w:rsidR="00BD1998">
                    <w:rPr>
                      <w:rFonts w:ascii="Arial" w:eastAsiaTheme="minorHAnsi" w:hAnsi="Arial" w:cs="Arial"/>
                      <w:i/>
                      <w:noProof/>
                      <w:sz w:val="24"/>
                      <w:szCs w:val="24"/>
                      <w:lang w:val="af-ZA"/>
                    </w:rPr>
                    <w:t xml:space="preserve">verbouings- </w:t>
                  </w:r>
                  <w:r w:rsidRPr="00B1747C">
                    <w:rPr>
                      <w:rFonts w:ascii="Arial" w:eastAsiaTheme="minorHAnsi" w:hAnsi="Arial" w:cs="Arial"/>
                      <w:i/>
                      <w:noProof/>
                      <w:sz w:val="24"/>
                      <w:szCs w:val="24"/>
                      <w:lang w:val="af-ZA"/>
                    </w:rPr>
                    <w:t>en bestuurstegnieke vir die winsgewende produksie van hierdie kultivars gelewer het. Sy bydraes was instrumenteel om die vinnige uitbreiding van hierdie hoë-waarde-komponent van die bedryf op 'n gesonde wetenskaplike grondslag moontlik te maak.</w:t>
                  </w:r>
                </w:p>
                <w:p w:rsidR="002A09C9" w:rsidRPr="002A09C9" w:rsidRDefault="002A09C9" w:rsidP="002A09C9">
                  <w:pPr>
                    <w:jc w:val="both"/>
                    <w:rPr>
                      <w:rFonts w:ascii="Arial" w:hAnsi="Arial" w:cs="Arial"/>
                      <w:i/>
                      <w:noProof/>
                      <w:sz w:val="24"/>
                      <w:szCs w:val="24"/>
                      <w:lang w:val="af-ZA"/>
                    </w:rPr>
                  </w:pPr>
                  <w:r w:rsidRPr="002A09C9">
                    <w:rPr>
                      <w:rFonts w:ascii="Arial" w:hAnsi="Arial" w:cs="Arial"/>
                      <w:i/>
                      <w:noProof/>
                      <w:sz w:val="24"/>
                      <w:szCs w:val="24"/>
                      <w:lang w:val="af-ZA"/>
                    </w:rPr>
                    <w:t>Sy bydraes tot die bedry</w:t>
                  </w:r>
                  <w:r>
                    <w:rPr>
                      <w:rFonts w:ascii="Arial" w:hAnsi="Arial" w:cs="Arial"/>
                      <w:i/>
                      <w:noProof/>
                      <w:sz w:val="24"/>
                      <w:szCs w:val="24"/>
                      <w:lang w:val="af-ZA"/>
                    </w:rPr>
                    <w:t>f het die ontwikkeling van mens</w:t>
                  </w:r>
                  <w:r w:rsidR="00CE794F">
                    <w:rPr>
                      <w:rFonts w:ascii="Arial" w:hAnsi="Arial" w:cs="Arial"/>
                      <w:i/>
                      <w:noProof/>
                      <w:sz w:val="24"/>
                      <w:szCs w:val="24"/>
                      <w:lang w:val="af-ZA"/>
                    </w:rPr>
                    <w:t>e</w:t>
                  </w:r>
                  <w:r w:rsidRPr="002A09C9">
                    <w:rPr>
                      <w:rFonts w:ascii="Arial" w:hAnsi="Arial" w:cs="Arial"/>
                      <w:i/>
                      <w:noProof/>
                      <w:sz w:val="24"/>
                      <w:szCs w:val="24"/>
                      <w:lang w:val="af-ZA"/>
                    </w:rPr>
                    <w:t>kapitaal ingesluit deur 'n sitrus-gefokusde navorsingsprogram by die Departement Hortologie, Universiteit van Stellenbosch, te bou, iets wat  nog lank na sy vertrek voortgesit word. Dit het nie net tot uitgebreide wetenskaplike uitsette gelei nie, maar het ook gesogte navorsers en tegniese personeel gelewer, wat self groot bydraes tot die bedryf gemaak het. Hy is 'n man wat altyd 'n gevoel van teenwoordigheid geskep</w:t>
                  </w:r>
                  <w:r w:rsidR="00CE794F">
                    <w:rPr>
                      <w:rFonts w:ascii="Arial" w:hAnsi="Arial" w:cs="Arial"/>
                      <w:i/>
                      <w:noProof/>
                      <w:sz w:val="24"/>
                      <w:szCs w:val="24"/>
                      <w:lang w:val="af-ZA"/>
                    </w:rPr>
                    <w:t xml:space="preserve"> het</w:t>
                  </w:r>
                  <w:r w:rsidRPr="002A09C9">
                    <w:rPr>
                      <w:rFonts w:ascii="Arial" w:hAnsi="Arial" w:cs="Arial"/>
                      <w:i/>
                      <w:noProof/>
                      <w:sz w:val="24"/>
                      <w:szCs w:val="24"/>
                      <w:lang w:val="af-ZA"/>
                    </w:rPr>
                    <w:t>, wat aan sommiges van ons</w:t>
                  </w:r>
                  <w:r w:rsidR="00C14E65">
                    <w:rPr>
                      <w:rFonts w:ascii="Arial" w:hAnsi="Arial" w:cs="Arial"/>
                      <w:i/>
                      <w:noProof/>
                      <w:sz w:val="24"/>
                      <w:szCs w:val="24"/>
                      <w:lang w:val="af-ZA"/>
                    </w:rPr>
                    <w:t>,</w:t>
                  </w:r>
                  <w:r w:rsidRPr="002A09C9">
                    <w:rPr>
                      <w:rFonts w:ascii="Arial" w:hAnsi="Arial" w:cs="Arial"/>
                      <w:i/>
                      <w:noProof/>
                      <w:sz w:val="24"/>
                      <w:szCs w:val="24"/>
                      <w:lang w:val="af-ZA"/>
                    </w:rPr>
                    <w:t xml:space="preserve"> bekend is as Dr Blunt. Die ontvanger van hierdie toekenning, vir diegene wat hom nie by hierdie bynaam ken nie, is Etienne Rabe.</w:t>
                  </w:r>
                </w:p>
                <w:p w:rsidR="00DB1089" w:rsidRDefault="002A09C9" w:rsidP="00DB1089">
                  <w:pPr>
                    <w:pStyle w:val="NoSpacing"/>
                    <w:spacing w:line="240" w:lineRule="auto"/>
                    <w:jc w:val="both"/>
                    <w:rPr>
                      <w:rFonts w:ascii="Arial" w:hAnsi="Arial" w:cs="Arial"/>
                      <w:i/>
                      <w:noProof/>
                      <w:sz w:val="24"/>
                      <w:szCs w:val="24"/>
                      <w:lang w:val="af-ZA"/>
                    </w:rPr>
                  </w:pPr>
                  <w:r>
                    <w:rPr>
                      <w:rFonts w:ascii="Arial" w:hAnsi="Arial" w:cs="Arial"/>
                      <w:noProof/>
                      <w:sz w:val="24"/>
                      <w:szCs w:val="24"/>
                      <w:lang w:val="af-ZA"/>
                    </w:rPr>
                    <w:t xml:space="preserve">Baie geluk </w:t>
                  </w:r>
                  <w:r w:rsidR="00DB1089" w:rsidRPr="008A255E">
                    <w:rPr>
                      <w:rFonts w:ascii="Arial" w:hAnsi="Arial" w:cs="Arial"/>
                      <w:noProof/>
                      <w:sz w:val="24"/>
                      <w:szCs w:val="24"/>
                      <w:lang w:val="af-ZA"/>
                    </w:rPr>
                    <w:t xml:space="preserve">Etienne </w:t>
                  </w:r>
                  <w:r>
                    <w:rPr>
                      <w:rFonts w:ascii="Arial" w:hAnsi="Arial" w:cs="Arial"/>
                      <w:noProof/>
                      <w:sz w:val="24"/>
                      <w:szCs w:val="24"/>
                      <w:lang w:val="af-ZA"/>
                    </w:rPr>
                    <w:t xml:space="preserve"> - welverdiend</w:t>
                  </w:r>
                  <w:r w:rsidR="00DB1089" w:rsidRPr="008A255E">
                    <w:rPr>
                      <w:rFonts w:ascii="Arial" w:hAnsi="Arial" w:cs="Arial"/>
                      <w:noProof/>
                      <w:sz w:val="24"/>
                      <w:szCs w:val="24"/>
                      <w:lang w:val="af-ZA"/>
                    </w:rPr>
                    <w:t>.</w:t>
                  </w:r>
                  <w:r w:rsidR="00DB1089" w:rsidRPr="008A255E">
                    <w:rPr>
                      <w:rFonts w:ascii="Arial" w:hAnsi="Arial" w:cs="Arial"/>
                      <w:i/>
                      <w:noProof/>
                      <w:sz w:val="24"/>
                      <w:szCs w:val="24"/>
                      <w:lang w:val="af-ZA"/>
                    </w:rPr>
                    <w:t xml:space="preserve"> </w:t>
                  </w:r>
                </w:p>
                <w:p w:rsidR="00C63B0F" w:rsidRPr="00C63B0F" w:rsidRDefault="00C63B0F" w:rsidP="00DB1089">
                  <w:pPr>
                    <w:pStyle w:val="NoSpacing"/>
                    <w:spacing w:line="240" w:lineRule="auto"/>
                    <w:jc w:val="both"/>
                    <w:rPr>
                      <w:rFonts w:ascii="Arial" w:hAnsi="Arial" w:cs="Arial"/>
                      <w:noProof/>
                      <w:sz w:val="24"/>
                      <w:szCs w:val="24"/>
                      <w:lang w:val="af-ZA"/>
                    </w:rPr>
                  </w:pPr>
                </w:p>
                <w:p w:rsidR="002A09C9" w:rsidRPr="00C63B0F" w:rsidRDefault="002A09C9" w:rsidP="00C63B0F">
                  <w:pPr>
                    <w:spacing w:after="0" w:line="240" w:lineRule="auto"/>
                    <w:jc w:val="both"/>
                    <w:rPr>
                      <w:rFonts w:ascii="Arial" w:hAnsi="Arial" w:cs="Arial"/>
                      <w:noProof/>
                      <w:sz w:val="24"/>
                      <w:szCs w:val="24"/>
                      <w:lang w:val="af-ZA"/>
                    </w:rPr>
                  </w:pPr>
                  <w:r w:rsidRPr="00C63B0F">
                    <w:rPr>
                      <w:rFonts w:ascii="Arial" w:hAnsi="Arial" w:cs="Arial"/>
                      <w:noProof/>
                      <w:sz w:val="24"/>
                      <w:szCs w:val="24"/>
                      <w:lang w:val="af-ZA"/>
                    </w:rPr>
                    <w:t xml:space="preserve">'n Herinnering dat die Citrus Growers Association hul </w:t>
                  </w:r>
                  <w:r w:rsidRPr="00C63B0F">
                    <w:rPr>
                      <w:rFonts w:ascii="Arial" w:hAnsi="Arial" w:cs="Arial"/>
                      <w:b/>
                      <w:noProof/>
                      <w:color w:val="2E74B5" w:themeColor="accent1" w:themeShade="BF"/>
                      <w:sz w:val="24"/>
                      <w:szCs w:val="24"/>
                      <w:lang w:val="af-ZA"/>
                    </w:rPr>
                    <w:t>Algemene Jaarvergadering op Woensdag 26 September 2018</w:t>
                  </w:r>
                  <w:r w:rsidRPr="00C63B0F">
                    <w:rPr>
                      <w:rFonts w:ascii="Arial" w:hAnsi="Arial" w:cs="Arial"/>
                      <w:noProof/>
                      <w:color w:val="2E74B5" w:themeColor="accent1" w:themeShade="BF"/>
                      <w:sz w:val="24"/>
                      <w:szCs w:val="24"/>
                      <w:lang w:val="af-ZA"/>
                    </w:rPr>
                    <w:t xml:space="preserve">  </w:t>
                  </w:r>
                  <w:r w:rsidRPr="00C63B0F">
                    <w:rPr>
                      <w:rFonts w:ascii="Arial" w:hAnsi="Arial" w:cs="Arial"/>
                      <w:noProof/>
                      <w:sz w:val="24"/>
                      <w:szCs w:val="24"/>
                      <w:lang w:val="af-ZA"/>
                    </w:rPr>
                    <w:t>in die Raadsaal van die CRI Navorsingsent</w:t>
                  </w:r>
                  <w:r w:rsidR="00C14E65">
                    <w:rPr>
                      <w:rFonts w:ascii="Arial" w:hAnsi="Arial" w:cs="Arial"/>
                      <w:noProof/>
                      <w:sz w:val="24"/>
                      <w:szCs w:val="24"/>
                      <w:lang w:val="af-ZA"/>
                    </w:rPr>
                    <w:t xml:space="preserve">rum te Bakerstraat 2, Nelspruit, </w:t>
                  </w:r>
                  <w:bookmarkStart w:id="0" w:name="_GoBack"/>
                  <w:bookmarkEnd w:id="0"/>
                  <w:r w:rsidRPr="00C63B0F">
                    <w:rPr>
                      <w:rFonts w:ascii="Arial" w:hAnsi="Arial" w:cs="Arial"/>
                      <w:noProof/>
                      <w:sz w:val="24"/>
                      <w:szCs w:val="24"/>
                      <w:lang w:val="af-ZA"/>
                    </w:rPr>
                    <w:t>om 15.00 gaan hou. As jy 'n CGA-lid is en graag wil bywoon, stuur 'n e-pos aan gloria@cga.co.za.</w:t>
                  </w:r>
                </w:p>
                <w:p w:rsidR="001C164E" w:rsidRPr="008A255E" w:rsidRDefault="001C164E" w:rsidP="00C63B0F">
                  <w:pPr>
                    <w:pStyle w:val="NoSpacing"/>
                    <w:spacing w:line="240" w:lineRule="auto"/>
                    <w:jc w:val="both"/>
                    <w:rPr>
                      <w:rFonts w:ascii="Arial" w:hAnsi="Arial" w:cs="Arial"/>
                      <w:noProof/>
                      <w:sz w:val="6"/>
                      <w:szCs w:val="6"/>
                      <w:lang w:val="af-ZA"/>
                    </w:rPr>
                  </w:pPr>
                </w:p>
              </w:tc>
            </w:tr>
            <w:tr w:rsidR="0098607D" w:rsidRPr="0032083B" w:rsidTr="00B636C9">
              <w:trPr>
                <w:gridAfter w:val="2"/>
                <w:wAfter w:w="566" w:type="dxa"/>
                <w:trHeight w:val="35"/>
                <w:tblCellSpacing w:w="0" w:type="dxa"/>
              </w:trPr>
              <w:tc>
                <w:tcPr>
                  <w:tcW w:w="10632" w:type="dxa"/>
                  <w:gridSpan w:val="2"/>
                  <w:vAlign w:val="center"/>
                </w:tcPr>
                <w:p w:rsidR="0098607D" w:rsidRDefault="00ED030D" w:rsidP="00B636C9">
                  <w:pPr>
                    <w:pStyle w:val="NormalWeb"/>
                    <w:widowControl w:val="0"/>
                    <w:spacing w:before="0" w:beforeAutospacing="0" w:after="0" w:afterAutospacing="0"/>
                    <w:rPr>
                      <w:rFonts w:ascii="Arial" w:eastAsia="Times New Roman" w:hAnsi="Arial" w:cs="Arial"/>
                      <w:b/>
                      <w:color w:val="0070C0"/>
                      <w:sz w:val="20"/>
                      <w:u w:val="single"/>
                      <w:lang w:val="en-US"/>
                    </w:rPr>
                  </w:pPr>
                  <w:r>
                    <w:rPr>
                      <w:rFonts w:ascii="Arial" w:hAnsi="Arial" w:cs="Arial"/>
                      <w:b/>
                      <w:i/>
                      <w:color w:val="auto"/>
                      <w:sz w:val="20"/>
                    </w:rPr>
                    <w:t xml:space="preserve"> </w:t>
                  </w:r>
                  <w:r w:rsidR="00C63B0F" w:rsidRPr="00C63B0F">
                    <w:rPr>
                      <w:rFonts w:ascii="Arial" w:hAnsi="Arial" w:cs="Arial"/>
                      <w:b/>
                      <w:color w:val="0070C0"/>
                      <w:sz w:val="20"/>
                      <w:u w:val="single"/>
                    </w:rPr>
                    <w:t>GEPAK EN VERSKEEP</w:t>
                  </w:r>
                  <w:r w:rsidR="0027430A" w:rsidRPr="00C63B0F">
                    <w:rPr>
                      <w:rFonts w:ascii="Arial" w:eastAsia="Times New Roman" w:hAnsi="Arial" w:cs="Arial"/>
                      <w:b/>
                      <w:color w:val="0070C0"/>
                      <w:sz w:val="20"/>
                      <w:u w:val="single"/>
                      <w:lang w:val="en-US"/>
                    </w:rPr>
                    <w:t>*</w:t>
                  </w:r>
                </w:p>
                <w:p w:rsidR="0027430A" w:rsidRPr="0027430A" w:rsidRDefault="0027430A" w:rsidP="00C63B0F">
                  <w:pPr>
                    <w:pStyle w:val="NormalWeb"/>
                    <w:widowControl w:val="0"/>
                    <w:spacing w:before="0" w:beforeAutospacing="0" w:after="0" w:afterAutospacing="0"/>
                    <w:rPr>
                      <w:rFonts w:ascii="Arial" w:hAnsi="Arial" w:cs="Arial"/>
                      <w:b/>
                      <w:i/>
                      <w:color w:val="auto"/>
                      <w:sz w:val="20"/>
                    </w:rPr>
                  </w:pPr>
                  <w:r>
                    <w:rPr>
                      <w:rFonts w:ascii="Arial" w:eastAsia="Times New Roman" w:hAnsi="Arial" w:cs="Arial"/>
                      <w:b/>
                      <w:color w:val="0070C0"/>
                      <w:sz w:val="20"/>
                      <w:lang w:val="en-US"/>
                    </w:rPr>
                    <w:t>*</w:t>
                  </w:r>
                  <w:r w:rsidR="00C63B0F" w:rsidRPr="00C63B0F">
                    <w:rPr>
                      <w:rFonts w:ascii="Arial" w:eastAsia="Times New Roman" w:hAnsi="Arial" w:cs="Arial"/>
                      <w:b/>
                      <w:noProof/>
                      <w:color w:val="0070C0"/>
                      <w:sz w:val="20"/>
                      <w:lang w:val="af-ZA"/>
                    </w:rPr>
                    <w:t xml:space="preserve">Neem asb kennis dat </w:t>
                  </w:r>
                  <w:r w:rsidRPr="00C63B0F">
                    <w:rPr>
                      <w:rFonts w:ascii="Arial" w:eastAsia="Times New Roman" w:hAnsi="Arial" w:cs="Arial"/>
                      <w:b/>
                      <w:noProof/>
                      <w:color w:val="0070C0"/>
                      <w:sz w:val="20"/>
                      <w:lang w:val="af-ZA"/>
                    </w:rPr>
                    <w:t xml:space="preserve">PPECB </w:t>
                  </w:r>
                  <w:r w:rsidR="00C63B0F" w:rsidRPr="00C63B0F">
                    <w:rPr>
                      <w:rFonts w:ascii="Arial" w:eastAsia="Times New Roman" w:hAnsi="Arial" w:cs="Arial"/>
                      <w:b/>
                      <w:noProof/>
                      <w:color w:val="0070C0"/>
                      <w:sz w:val="20"/>
                      <w:lang w:val="af-ZA"/>
                    </w:rPr>
                    <w:t>probleme met hul stelsels ondervind en nie die data van wat gepak is kon voorsien nie</w:t>
                  </w:r>
                  <w:r w:rsidRPr="00C63B0F">
                    <w:rPr>
                      <w:rFonts w:ascii="Arial" w:eastAsia="Times New Roman" w:hAnsi="Arial" w:cs="Arial"/>
                      <w:b/>
                      <w:noProof/>
                      <w:color w:val="0070C0"/>
                      <w:sz w:val="20"/>
                      <w:lang w:val="af-ZA"/>
                    </w:rPr>
                    <w:t>.</w:t>
                  </w:r>
                </w:p>
              </w:tc>
            </w:tr>
          </w:tbl>
          <w:tbl>
            <w:tblPr>
              <w:tblpPr w:leftFromText="180" w:rightFromText="180" w:vertAnchor="text" w:horzAnchor="margin" w:tblpY="104"/>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1417"/>
              <w:gridCol w:w="1418"/>
              <w:gridCol w:w="1559"/>
              <w:gridCol w:w="1276"/>
              <w:gridCol w:w="1275"/>
            </w:tblGrid>
            <w:tr w:rsidR="003B0813" w:rsidRPr="00C63B0F" w:rsidTr="003B0813">
              <w:trPr>
                <w:trHeight w:val="401"/>
              </w:trPr>
              <w:tc>
                <w:tcPr>
                  <w:tcW w:w="2689" w:type="dxa"/>
                  <w:tcBorders>
                    <w:top w:val="single" w:sz="4" w:space="0" w:color="000000"/>
                    <w:left w:val="single" w:sz="4" w:space="0" w:color="000000"/>
                    <w:bottom w:val="single" w:sz="4" w:space="0" w:color="000000"/>
                    <w:right w:val="single" w:sz="4" w:space="0" w:color="000000"/>
                  </w:tcBorders>
                  <w:hideMark/>
                </w:tcPr>
                <w:p w:rsidR="003B0813" w:rsidRPr="00C63B0F" w:rsidRDefault="003B0813" w:rsidP="001F5769">
                  <w:pPr>
                    <w:spacing w:after="0" w:line="240" w:lineRule="auto"/>
                    <w:ind w:left="337" w:hanging="337"/>
                    <w:rPr>
                      <w:rFonts w:ascii="Arial" w:hAnsi="Arial" w:cs="Arial"/>
                      <w:noProof/>
                      <w:sz w:val="18"/>
                      <w:szCs w:val="18"/>
                      <w:lang w:val="af-ZA"/>
                    </w:rPr>
                  </w:pPr>
                  <w:bookmarkStart w:id="1" w:name="OLE_LINK1"/>
                  <w:bookmarkStart w:id="2" w:name="OLE_LINK2"/>
                  <w:r w:rsidRPr="00C63B0F">
                    <w:rPr>
                      <w:rFonts w:ascii="Arial" w:hAnsi="Arial" w:cs="Arial"/>
                      <w:noProof/>
                      <w:sz w:val="18"/>
                      <w:szCs w:val="18"/>
                      <w:lang w:val="af-ZA"/>
                    </w:rPr>
                    <w:t>To</w:t>
                  </w:r>
                  <w:r w:rsidR="00C63B0F">
                    <w:rPr>
                      <w:rFonts w:ascii="Arial" w:hAnsi="Arial" w:cs="Arial"/>
                      <w:noProof/>
                      <w:sz w:val="18"/>
                      <w:szCs w:val="18"/>
                      <w:lang w:val="af-ZA"/>
                    </w:rPr>
                    <w:t>t</w:t>
                  </w:r>
                  <w:r w:rsidRPr="00C63B0F">
                    <w:rPr>
                      <w:rFonts w:ascii="Arial" w:hAnsi="Arial" w:cs="Arial"/>
                      <w:noProof/>
                      <w:sz w:val="18"/>
                      <w:szCs w:val="18"/>
                      <w:lang w:val="af-ZA"/>
                    </w:rPr>
                    <w:t xml:space="preserve"> Week 37</w:t>
                  </w:r>
                </w:p>
                <w:p w:rsidR="003B0813" w:rsidRPr="00C63B0F" w:rsidRDefault="003B0813" w:rsidP="00C63B0F">
                  <w:pPr>
                    <w:spacing w:after="0" w:line="240" w:lineRule="auto"/>
                    <w:rPr>
                      <w:rFonts w:ascii="Arial" w:hAnsi="Arial" w:cs="Arial"/>
                      <w:noProof/>
                      <w:sz w:val="18"/>
                      <w:szCs w:val="18"/>
                      <w:lang w:val="af-ZA"/>
                    </w:rPr>
                  </w:pPr>
                  <w:r w:rsidRPr="00C63B0F">
                    <w:rPr>
                      <w:rFonts w:ascii="Arial" w:hAnsi="Arial" w:cs="Arial"/>
                      <w:noProof/>
                      <w:sz w:val="18"/>
                      <w:szCs w:val="18"/>
                      <w:lang w:val="af-ZA"/>
                    </w:rPr>
                    <w:t>M</w:t>
                  </w:r>
                  <w:r w:rsidR="00C63B0F">
                    <w:rPr>
                      <w:rFonts w:ascii="Arial" w:hAnsi="Arial" w:cs="Arial"/>
                      <w:noProof/>
                      <w:sz w:val="18"/>
                      <w:szCs w:val="18"/>
                      <w:lang w:val="af-ZA"/>
                    </w:rPr>
                    <w:t>iljoen 1</w:t>
                  </w:r>
                  <w:r w:rsidRPr="00C63B0F">
                    <w:rPr>
                      <w:rFonts w:ascii="Arial" w:hAnsi="Arial" w:cs="Arial"/>
                      <w:noProof/>
                      <w:sz w:val="18"/>
                      <w:szCs w:val="18"/>
                      <w:lang w:val="af-ZA"/>
                    </w:rPr>
                    <w:t xml:space="preserve">5 Kg </w:t>
                  </w:r>
                  <w:r w:rsidR="00C63B0F">
                    <w:rPr>
                      <w:rFonts w:ascii="Arial" w:hAnsi="Arial" w:cs="Arial"/>
                      <w:noProof/>
                      <w:sz w:val="18"/>
                      <w:szCs w:val="18"/>
                      <w:lang w:val="af-ZA"/>
                    </w:rPr>
                    <w:t>Kartonne</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C63B0F" w:rsidP="003B0813">
                  <w:pPr>
                    <w:spacing w:after="0" w:line="240" w:lineRule="auto"/>
                    <w:jc w:val="center"/>
                    <w:rPr>
                      <w:rFonts w:ascii="Arial" w:hAnsi="Arial" w:cs="Arial"/>
                      <w:noProof/>
                      <w:sz w:val="18"/>
                      <w:szCs w:val="18"/>
                      <w:lang w:val="af-ZA"/>
                    </w:rPr>
                  </w:pPr>
                  <w:r>
                    <w:rPr>
                      <w:rFonts w:ascii="Arial" w:hAnsi="Arial" w:cs="Arial"/>
                      <w:noProof/>
                      <w:sz w:val="18"/>
                      <w:szCs w:val="18"/>
                      <w:lang w:val="af-ZA"/>
                    </w:rPr>
                    <w:t>Verskeep</w:t>
                  </w:r>
                </w:p>
              </w:tc>
              <w:tc>
                <w:tcPr>
                  <w:tcW w:w="1418"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3B0813" w:rsidRPr="00C63B0F" w:rsidRDefault="00C63B0F" w:rsidP="003B0813">
                  <w:pPr>
                    <w:spacing w:after="0" w:line="240" w:lineRule="auto"/>
                    <w:jc w:val="center"/>
                    <w:rPr>
                      <w:rFonts w:ascii="Arial" w:hAnsi="Arial" w:cs="Arial"/>
                      <w:noProof/>
                      <w:sz w:val="18"/>
                      <w:szCs w:val="18"/>
                      <w:lang w:val="af-ZA"/>
                    </w:rPr>
                  </w:pPr>
                  <w:r>
                    <w:rPr>
                      <w:rFonts w:ascii="Arial" w:hAnsi="Arial" w:cs="Arial"/>
                      <w:noProof/>
                      <w:sz w:val="18"/>
                      <w:szCs w:val="18"/>
                      <w:lang w:val="af-ZA"/>
                    </w:rPr>
                    <w:t>Verskeep</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Pr="00C63B0F" w:rsidRDefault="00C63B0F" w:rsidP="003B0813">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C63B0F" w:rsidP="00C63B0F">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3B0813" w:rsidRPr="00C63B0F" w:rsidRDefault="003B0813" w:rsidP="00C63B0F">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Fina</w:t>
                  </w:r>
                  <w:r w:rsidR="00C63B0F">
                    <w:rPr>
                      <w:rFonts w:ascii="Arial" w:hAnsi="Arial" w:cs="Arial"/>
                      <w:noProof/>
                      <w:sz w:val="18"/>
                      <w:szCs w:val="18"/>
                      <w:lang w:val="af-ZA"/>
                    </w:rPr>
                    <w:t>a</w:t>
                  </w:r>
                  <w:r w:rsidRPr="00C63B0F">
                    <w:rPr>
                      <w:rFonts w:ascii="Arial" w:hAnsi="Arial" w:cs="Arial"/>
                      <w:noProof/>
                      <w:sz w:val="18"/>
                      <w:szCs w:val="18"/>
                      <w:lang w:val="af-ZA"/>
                    </w:rPr>
                    <w:t xml:space="preserve">l </w:t>
                  </w:r>
                  <w:r w:rsidR="00C63B0F">
                    <w:rPr>
                      <w:rFonts w:ascii="Arial" w:hAnsi="Arial" w:cs="Arial"/>
                      <w:noProof/>
                      <w:sz w:val="18"/>
                      <w:szCs w:val="18"/>
                      <w:lang w:val="af-ZA"/>
                    </w:rPr>
                    <w:t>Gepak</w:t>
                  </w:r>
                </w:p>
              </w:tc>
            </w:tr>
            <w:tr w:rsidR="003B0813" w:rsidRPr="00C63B0F" w:rsidTr="003B0813">
              <w:trPr>
                <w:trHeight w:val="200"/>
              </w:trPr>
              <w:tc>
                <w:tcPr>
                  <w:tcW w:w="2689" w:type="dxa"/>
                  <w:tcBorders>
                    <w:top w:val="single" w:sz="4" w:space="0" w:color="000000"/>
                    <w:left w:val="single" w:sz="4" w:space="0" w:color="000000"/>
                    <w:bottom w:val="single" w:sz="4" w:space="0" w:color="000000"/>
                    <w:right w:val="single" w:sz="4" w:space="0" w:color="000000"/>
                  </w:tcBorders>
                  <w:hideMark/>
                </w:tcPr>
                <w:p w:rsidR="003B0813" w:rsidRPr="00C63B0F" w:rsidRDefault="00C63B0F" w:rsidP="00C63B0F">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3B0813" w:rsidRPr="00C63B0F">
                    <w:rPr>
                      <w:rFonts w:ascii="Arial" w:hAnsi="Arial" w:cs="Arial"/>
                      <w:b/>
                      <w:noProof/>
                      <w:sz w:val="18"/>
                      <w:szCs w:val="18"/>
                      <w:lang w:val="af-ZA"/>
                    </w:rPr>
                    <w:t>: Agri-Hub</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2017</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2018</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2018</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2017</w:t>
                  </w:r>
                </w:p>
              </w:tc>
            </w:tr>
            <w:tr w:rsidR="003B0813" w:rsidRPr="00C63B0F" w:rsidTr="003B0813">
              <w:trPr>
                <w:trHeight w:val="214"/>
              </w:trPr>
              <w:tc>
                <w:tcPr>
                  <w:tcW w:w="2689" w:type="dxa"/>
                  <w:tcBorders>
                    <w:top w:val="single" w:sz="4" w:space="0" w:color="000000"/>
                    <w:left w:val="single" w:sz="4" w:space="0" w:color="000000"/>
                    <w:bottom w:val="single" w:sz="4" w:space="0" w:color="000000"/>
                    <w:right w:val="single" w:sz="4" w:space="0" w:color="000000"/>
                  </w:tcBorders>
                  <w:hideMark/>
                </w:tcPr>
                <w:p w:rsidR="003B0813" w:rsidRPr="00C63B0F" w:rsidRDefault="00C63B0F" w:rsidP="00C63B0F">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14.6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17.4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16.8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18.6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15.7 m</w:t>
                  </w:r>
                </w:p>
              </w:tc>
            </w:tr>
            <w:tr w:rsidR="003B0813" w:rsidRPr="00C63B0F" w:rsidTr="003B0813">
              <w:trPr>
                <w:trHeight w:val="200"/>
              </w:trPr>
              <w:tc>
                <w:tcPr>
                  <w:tcW w:w="2689" w:type="dxa"/>
                  <w:tcBorders>
                    <w:top w:val="single" w:sz="4" w:space="0" w:color="000000"/>
                    <w:left w:val="single" w:sz="4" w:space="0" w:color="000000"/>
                    <w:bottom w:val="single" w:sz="4" w:space="0" w:color="000000"/>
                    <w:right w:val="single" w:sz="4" w:space="0" w:color="000000"/>
                  </w:tcBorders>
                  <w:hideMark/>
                </w:tcPr>
                <w:p w:rsidR="003B0813" w:rsidRPr="00C63B0F" w:rsidRDefault="003B0813" w:rsidP="00C63B0F">
                  <w:pPr>
                    <w:spacing w:after="0" w:line="240" w:lineRule="auto"/>
                    <w:rPr>
                      <w:rFonts w:ascii="Arial" w:hAnsi="Arial" w:cs="Arial"/>
                      <w:noProof/>
                      <w:sz w:val="18"/>
                      <w:szCs w:val="18"/>
                      <w:lang w:val="af-ZA"/>
                    </w:rPr>
                  </w:pPr>
                  <w:r w:rsidRPr="00C63B0F">
                    <w:rPr>
                      <w:rFonts w:ascii="Arial" w:hAnsi="Arial" w:cs="Arial"/>
                      <w:noProof/>
                      <w:sz w:val="18"/>
                      <w:szCs w:val="18"/>
                      <w:lang w:val="af-ZA"/>
                    </w:rPr>
                    <w:t>S</w:t>
                  </w:r>
                  <w:r w:rsidR="00C63B0F">
                    <w:rPr>
                      <w:rFonts w:ascii="Arial" w:hAnsi="Arial" w:cs="Arial"/>
                      <w:noProof/>
                      <w:sz w:val="18"/>
                      <w:szCs w:val="18"/>
                      <w:lang w:val="af-ZA"/>
                    </w:rPr>
                    <w:t>agte Sitrus</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12.7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15.2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14.7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17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13.4 m</w:t>
                  </w:r>
                </w:p>
              </w:tc>
            </w:tr>
            <w:tr w:rsidR="003B0813" w:rsidRPr="00C63B0F" w:rsidTr="003B0813">
              <w:trPr>
                <w:trHeight w:val="180"/>
              </w:trPr>
              <w:tc>
                <w:tcPr>
                  <w:tcW w:w="2689" w:type="dxa"/>
                  <w:tcBorders>
                    <w:top w:val="single" w:sz="4" w:space="0" w:color="000000"/>
                    <w:left w:val="single" w:sz="4" w:space="0" w:color="000000"/>
                    <w:bottom w:val="single" w:sz="4" w:space="0" w:color="000000"/>
                    <w:right w:val="single" w:sz="4" w:space="0" w:color="000000"/>
                  </w:tcBorders>
                  <w:hideMark/>
                </w:tcPr>
                <w:p w:rsidR="003B0813" w:rsidRPr="00C63B0F" w:rsidRDefault="00C63B0F" w:rsidP="00C63B0F">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18.3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18.4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20.6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19.9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19 m</w:t>
                  </w:r>
                </w:p>
              </w:tc>
            </w:tr>
            <w:tr w:rsidR="003B0813" w:rsidRPr="00C63B0F" w:rsidTr="003B0813">
              <w:trPr>
                <w:trHeight w:val="200"/>
              </w:trPr>
              <w:tc>
                <w:tcPr>
                  <w:tcW w:w="2689" w:type="dxa"/>
                  <w:tcBorders>
                    <w:top w:val="single" w:sz="4" w:space="0" w:color="000000"/>
                    <w:left w:val="single" w:sz="4" w:space="0" w:color="000000"/>
                    <w:bottom w:val="single" w:sz="4" w:space="0" w:color="000000"/>
                    <w:right w:val="single" w:sz="4" w:space="0" w:color="000000"/>
                  </w:tcBorders>
                  <w:hideMark/>
                </w:tcPr>
                <w:p w:rsidR="003B0813" w:rsidRPr="00C63B0F" w:rsidRDefault="00C63B0F" w:rsidP="001F5769">
                  <w:pPr>
                    <w:spacing w:after="0" w:line="240" w:lineRule="auto"/>
                    <w:rPr>
                      <w:rFonts w:ascii="Arial" w:hAnsi="Arial" w:cs="Arial"/>
                      <w:noProof/>
                      <w:sz w:val="18"/>
                      <w:szCs w:val="18"/>
                      <w:lang w:val="af-ZA"/>
                    </w:rPr>
                  </w:pPr>
                  <w:r>
                    <w:rPr>
                      <w:rFonts w:ascii="Arial" w:hAnsi="Arial" w:cs="Arial"/>
                      <w:noProof/>
                      <w:sz w:val="18"/>
                      <w:szCs w:val="18"/>
                      <w:lang w:val="af-ZA"/>
                    </w:rPr>
                    <w:t>Naw</w:t>
                  </w:r>
                  <w:r w:rsidR="003B0813" w:rsidRPr="00C63B0F">
                    <w:rPr>
                      <w:rFonts w:ascii="Arial" w:hAnsi="Arial" w:cs="Arial"/>
                      <w:noProof/>
                      <w:sz w:val="18"/>
                      <w:szCs w:val="18"/>
                      <w:lang w:val="af-ZA"/>
                    </w:rPr>
                    <w:t>els</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AC7B28">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21.1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25.9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25.7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26.4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21.1 m</w:t>
                  </w:r>
                </w:p>
              </w:tc>
            </w:tr>
            <w:tr w:rsidR="003B0813" w:rsidRPr="00C63B0F" w:rsidTr="003B0813">
              <w:trPr>
                <w:trHeight w:val="245"/>
              </w:trPr>
              <w:tc>
                <w:tcPr>
                  <w:tcW w:w="2689" w:type="dxa"/>
                  <w:tcBorders>
                    <w:top w:val="single" w:sz="4" w:space="0" w:color="000000"/>
                    <w:left w:val="single" w:sz="4" w:space="0" w:color="000000"/>
                    <w:bottom w:val="single" w:sz="4" w:space="0" w:color="000000"/>
                    <w:right w:val="single" w:sz="4" w:space="0" w:color="000000"/>
                  </w:tcBorders>
                  <w:hideMark/>
                </w:tcPr>
                <w:p w:rsidR="003B0813" w:rsidRPr="00C63B0F" w:rsidRDefault="003B0813" w:rsidP="001F5769">
                  <w:pPr>
                    <w:spacing w:after="0" w:line="240" w:lineRule="auto"/>
                    <w:rPr>
                      <w:rFonts w:ascii="Arial" w:hAnsi="Arial" w:cs="Arial"/>
                      <w:noProof/>
                      <w:sz w:val="18"/>
                      <w:szCs w:val="18"/>
                      <w:lang w:val="af-ZA"/>
                    </w:rPr>
                  </w:pPr>
                  <w:r w:rsidRPr="00C63B0F">
                    <w:rPr>
                      <w:rFonts w:ascii="Arial" w:hAnsi="Arial" w:cs="Arial"/>
                      <w:noProof/>
                      <w:sz w:val="18"/>
                      <w:szCs w:val="18"/>
                      <w:lang w:val="af-ZA"/>
                    </w:rPr>
                    <w:t>Valencia</w:t>
                  </w:r>
                  <w:r w:rsidR="00C63B0F">
                    <w:rPr>
                      <w:rFonts w:ascii="Arial" w:hAnsi="Arial" w:cs="Arial"/>
                      <w:noProof/>
                      <w:sz w:val="18"/>
                      <w:szCs w:val="18"/>
                      <w:lang w:val="af-ZA"/>
                    </w:rPr>
                    <w:t>s</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40.7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38.9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53.9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52.4 m</w:t>
                  </w:r>
                </w:p>
              </w:tc>
              <w:tc>
                <w:tcPr>
                  <w:tcW w:w="1275" w:type="dxa"/>
                  <w:tcBorders>
                    <w:top w:val="single" w:sz="4" w:space="0" w:color="000000"/>
                    <w:left w:val="single" w:sz="4" w:space="0" w:color="000000"/>
                    <w:bottom w:val="single" w:sz="4" w:space="0" w:color="000000"/>
                    <w:right w:val="single" w:sz="4" w:space="0" w:color="000000"/>
                  </w:tcBorders>
                  <w:shd w:val="clear" w:color="auto" w:fill="E6E6E6"/>
                  <w:hideMark/>
                </w:tcPr>
                <w:p w:rsidR="003B0813" w:rsidRPr="00C63B0F" w:rsidRDefault="003B0813" w:rsidP="001F5769">
                  <w:pPr>
                    <w:spacing w:after="0" w:line="240" w:lineRule="auto"/>
                    <w:jc w:val="right"/>
                    <w:rPr>
                      <w:rFonts w:ascii="Arial" w:hAnsi="Arial" w:cs="Arial"/>
                      <w:noProof/>
                      <w:sz w:val="18"/>
                      <w:szCs w:val="18"/>
                      <w:lang w:val="af-ZA"/>
                    </w:rPr>
                  </w:pPr>
                  <w:r w:rsidRPr="00C63B0F">
                    <w:rPr>
                      <w:rFonts w:ascii="Arial" w:hAnsi="Arial" w:cs="Arial"/>
                      <w:noProof/>
                      <w:sz w:val="18"/>
                      <w:szCs w:val="18"/>
                      <w:lang w:val="af-ZA"/>
                    </w:rPr>
                    <w:t>53.8 m</w:t>
                  </w:r>
                </w:p>
              </w:tc>
            </w:tr>
            <w:tr w:rsidR="003B0813" w:rsidRPr="00C63B0F" w:rsidTr="003B0813">
              <w:trPr>
                <w:trHeight w:val="128"/>
              </w:trPr>
              <w:tc>
                <w:tcPr>
                  <w:tcW w:w="26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B0813" w:rsidRPr="00C63B0F" w:rsidRDefault="003B0813" w:rsidP="001F5769">
                  <w:pPr>
                    <w:spacing w:after="0" w:line="240" w:lineRule="auto"/>
                    <w:rPr>
                      <w:rFonts w:ascii="Arial" w:hAnsi="Arial" w:cs="Arial"/>
                      <w:b/>
                      <w:noProof/>
                      <w:sz w:val="18"/>
                      <w:szCs w:val="18"/>
                      <w:lang w:val="af-ZA"/>
                    </w:rPr>
                  </w:pPr>
                  <w:r w:rsidRPr="00C63B0F">
                    <w:rPr>
                      <w:rFonts w:ascii="Arial" w:hAnsi="Arial" w:cs="Arial"/>
                      <w:b/>
                      <w:noProof/>
                      <w:sz w:val="18"/>
                      <w:szCs w:val="18"/>
                      <w:lang w:val="af-ZA"/>
                    </w:rPr>
                    <w:t>Tot</w:t>
                  </w:r>
                  <w:r w:rsidR="00C63B0F">
                    <w:rPr>
                      <w:rFonts w:ascii="Arial" w:hAnsi="Arial" w:cs="Arial"/>
                      <w:b/>
                      <w:noProof/>
                      <w:sz w:val="18"/>
                      <w:szCs w:val="18"/>
                      <w:lang w:val="af-ZA"/>
                    </w:rPr>
                    <w:t>a</w:t>
                  </w:r>
                  <w:r w:rsidRPr="00C63B0F">
                    <w:rPr>
                      <w:rFonts w:ascii="Arial" w:hAnsi="Arial" w:cs="Arial"/>
                      <w:b/>
                      <w:noProof/>
                      <w:sz w:val="18"/>
                      <w:szCs w:val="18"/>
                      <w:lang w:val="af-ZA"/>
                    </w:rPr>
                    <w:t>al</w:t>
                  </w:r>
                </w:p>
              </w:tc>
              <w:tc>
                <w:tcPr>
                  <w:tcW w:w="141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3B0813" w:rsidRPr="00C63B0F" w:rsidRDefault="003B0813" w:rsidP="001F5769">
                  <w:pPr>
                    <w:spacing w:after="0" w:line="240" w:lineRule="auto"/>
                    <w:jc w:val="center"/>
                    <w:rPr>
                      <w:rFonts w:ascii="Arial" w:hAnsi="Arial" w:cs="Arial"/>
                      <w:b/>
                      <w:noProof/>
                      <w:sz w:val="18"/>
                      <w:szCs w:val="18"/>
                      <w:lang w:val="af-ZA"/>
                    </w:rPr>
                  </w:pPr>
                  <w:r w:rsidRPr="00C63B0F">
                    <w:rPr>
                      <w:rFonts w:ascii="Arial" w:hAnsi="Arial" w:cs="Arial"/>
                      <w:b/>
                      <w:noProof/>
                      <w:sz w:val="18"/>
                      <w:szCs w:val="18"/>
                      <w:lang w:val="af-ZA"/>
                    </w:rPr>
                    <w:t>107.4 m</w:t>
                  </w:r>
                </w:p>
              </w:tc>
              <w:tc>
                <w:tcPr>
                  <w:tcW w:w="1418"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3B0813" w:rsidRPr="00C63B0F" w:rsidRDefault="00D30E0F" w:rsidP="001F5769">
                  <w:pPr>
                    <w:spacing w:after="0" w:line="240" w:lineRule="auto"/>
                    <w:jc w:val="center"/>
                    <w:rPr>
                      <w:rFonts w:ascii="Arial" w:hAnsi="Arial" w:cs="Arial"/>
                      <w:b/>
                      <w:noProof/>
                      <w:sz w:val="18"/>
                      <w:szCs w:val="18"/>
                      <w:lang w:val="af-ZA"/>
                    </w:rPr>
                  </w:pPr>
                  <w:r w:rsidRPr="00C63B0F">
                    <w:rPr>
                      <w:rFonts w:ascii="Arial" w:hAnsi="Arial" w:cs="Arial"/>
                      <w:b/>
                      <w:noProof/>
                      <w:sz w:val="18"/>
                      <w:szCs w:val="18"/>
                      <w:lang w:val="af-ZA"/>
                    </w:rPr>
                    <w:t>115.8</w:t>
                  </w:r>
                  <w:r w:rsidR="003B0813" w:rsidRPr="00C63B0F">
                    <w:rPr>
                      <w:rFonts w:ascii="Arial" w:hAnsi="Arial" w:cs="Arial"/>
                      <w:b/>
                      <w:noProof/>
                      <w:sz w:val="18"/>
                      <w:szCs w:val="18"/>
                      <w:lang w:val="af-ZA"/>
                    </w:rPr>
                    <w:t xml:space="preserve"> m</w:t>
                  </w:r>
                </w:p>
              </w:tc>
              <w:tc>
                <w:tcPr>
                  <w:tcW w:w="1559"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3B0813" w:rsidRPr="00C63B0F" w:rsidRDefault="003B0813" w:rsidP="001F5769">
                  <w:pPr>
                    <w:spacing w:after="0" w:line="240" w:lineRule="auto"/>
                    <w:jc w:val="right"/>
                    <w:rPr>
                      <w:rFonts w:ascii="Arial" w:hAnsi="Arial" w:cs="Arial"/>
                      <w:b/>
                      <w:noProof/>
                      <w:sz w:val="18"/>
                      <w:szCs w:val="18"/>
                      <w:lang w:val="af-ZA"/>
                    </w:rPr>
                  </w:pPr>
                  <w:r w:rsidRPr="00C63B0F">
                    <w:rPr>
                      <w:rFonts w:ascii="Arial" w:hAnsi="Arial" w:cs="Arial"/>
                      <w:b/>
                      <w:noProof/>
                      <w:sz w:val="18"/>
                      <w:szCs w:val="18"/>
                      <w:lang w:val="af-ZA"/>
                    </w:rPr>
                    <w:t>131.7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B0813" w:rsidRPr="00C63B0F" w:rsidRDefault="003B0813" w:rsidP="004E66AA">
                  <w:pPr>
                    <w:spacing w:after="0" w:line="240" w:lineRule="auto"/>
                    <w:jc w:val="center"/>
                    <w:rPr>
                      <w:rFonts w:ascii="Arial" w:hAnsi="Arial" w:cs="Arial"/>
                      <w:noProof/>
                      <w:sz w:val="18"/>
                      <w:szCs w:val="18"/>
                      <w:lang w:val="af-ZA"/>
                    </w:rPr>
                  </w:pPr>
                  <w:r w:rsidRPr="00C63B0F">
                    <w:rPr>
                      <w:rFonts w:ascii="Arial" w:hAnsi="Arial" w:cs="Arial"/>
                      <w:noProof/>
                      <w:sz w:val="18"/>
                      <w:szCs w:val="18"/>
                      <w:lang w:val="af-ZA"/>
                    </w:rPr>
                    <w:t>132.9 m</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B0813" w:rsidRPr="00C63B0F" w:rsidRDefault="003B0813" w:rsidP="001F5769">
                  <w:pPr>
                    <w:spacing w:after="0" w:line="240" w:lineRule="auto"/>
                    <w:jc w:val="right"/>
                    <w:rPr>
                      <w:rFonts w:ascii="Arial" w:hAnsi="Arial" w:cs="Arial"/>
                      <w:b/>
                      <w:noProof/>
                      <w:sz w:val="18"/>
                      <w:szCs w:val="18"/>
                      <w:lang w:val="af-ZA"/>
                    </w:rPr>
                  </w:pPr>
                  <w:r w:rsidRPr="00C63B0F">
                    <w:rPr>
                      <w:rFonts w:ascii="Arial" w:hAnsi="Arial" w:cs="Arial"/>
                      <w:b/>
                      <w:noProof/>
                      <w:sz w:val="18"/>
                      <w:szCs w:val="18"/>
                      <w:lang w:val="af-ZA"/>
                    </w:rPr>
                    <w:t>123 m</w:t>
                  </w:r>
                </w:p>
              </w:tc>
            </w:tr>
          </w:tbl>
          <w:bookmarkEnd w:id="1"/>
          <w:bookmarkEnd w:id="2"/>
          <w:p w:rsidR="00EE3882"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09484C" w:rsidRPr="00E25CE5" w:rsidRDefault="0009484C" w:rsidP="0009484C">
      <w:pPr>
        <w:spacing w:after="0" w:line="240" w:lineRule="auto"/>
        <w:ind w:right="-330"/>
        <w:jc w:val="center"/>
        <w:rPr>
          <w:rFonts w:ascii="Arial" w:hAnsi="Arial" w:cs="Arial"/>
          <w:b/>
          <w:noProof/>
          <w:color w:val="31849B"/>
          <w:sz w:val="17"/>
          <w:szCs w:val="17"/>
          <w:lang w:val="af-ZA"/>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F553C7" w:rsidRPr="003363E1" w:rsidRDefault="00F553C7" w:rsidP="00C63B0F">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C41"/>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484C"/>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09C9"/>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96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2AA"/>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55E"/>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47C"/>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998"/>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4E65"/>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3B0F"/>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94F"/>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1464617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728605">
      <w:bodyDiv w:val="1"/>
      <w:marLeft w:val="0"/>
      <w:marRight w:val="0"/>
      <w:marTop w:val="0"/>
      <w:marBottom w:val="0"/>
      <w:divBdr>
        <w:top w:val="none" w:sz="0" w:space="0" w:color="auto"/>
        <w:left w:val="none" w:sz="0" w:space="0" w:color="auto"/>
        <w:bottom w:val="none" w:sz="0" w:space="0" w:color="auto"/>
        <w:right w:val="none" w:sz="0" w:space="0" w:color="auto"/>
      </w:divBdr>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C79B-1F50-48DB-8970-BD95F0DD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2018-09-21T15:24:00Z</cp:lastPrinted>
  <dcterms:created xsi:type="dcterms:W3CDTF">2018-09-25T12:52:00Z</dcterms:created>
  <dcterms:modified xsi:type="dcterms:W3CDTF">2018-09-25T12:52:00Z</dcterms:modified>
</cp:coreProperties>
</file>