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0" w:type="pct"/>
        <w:tblCellSpacing w:w="0" w:type="dxa"/>
        <w:tblInd w:w="-743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35"/>
      </w:tblGrid>
      <w:tr w:rsidR="00F553C7" w:rsidRPr="00901D81" w:rsidTr="00501596">
        <w:trPr>
          <w:trHeight w:val="15677"/>
          <w:tblCellSpacing w:w="0" w:type="dxa"/>
        </w:trPr>
        <w:tc>
          <w:tcPr>
            <w:tcW w:w="10935" w:type="dxa"/>
            <w:shd w:val="clear" w:color="auto" w:fill="auto"/>
            <w:vAlign w:val="center"/>
          </w:tcPr>
          <w:tbl>
            <w:tblPr>
              <w:tblW w:w="10759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59"/>
            </w:tblGrid>
            <w:tr w:rsidR="00F553C7" w:rsidRPr="008C6E3A" w:rsidTr="00501596">
              <w:trPr>
                <w:trHeight w:val="1188"/>
                <w:tblCellSpacing w:w="0" w:type="dxa"/>
              </w:trPr>
              <w:tc>
                <w:tcPr>
                  <w:tcW w:w="10759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Pr="00512A64" w:rsidRDefault="00512A64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UIT DIE PEN VAN DIE </w:t>
                                        </w:r>
                                        <w:r w:rsidR="00044293" w:rsidRPr="00512A6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CEO</w:t>
                                        </w:r>
                                        <w:r w:rsidR="0097070B" w:rsidRPr="00512A6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 xml:space="preserve"> (40</w:t>
                                        </w:r>
                                        <w:r w:rsidR="00044293" w:rsidRPr="00512A64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noProof/>
                                            <w:sz w:val="32"/>
                                            <w:szCs w:val="32"/>
                                            <w:lang w:val="af-ZA"/>
                                          </w:rPr>
                                          <w:t>/17)</w:t>
                                        </w:r>
                                      </w:p>
                                      <w:p w:rsidR="00044293" w:rsidRPr="00512A64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</w:pPr>
                                        <w:r w:rsidRPr="00512A64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(</w:t>
                                        </w:r>
                                        <w:r w:rsidR="00512A64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Volg my op </w:t>
                                        </w:r>
                                        <w:r w:rsidRPr="00512A64">
                                          <w:rPr>
                                            <w:rFonts w:ascii="Comic Sans MS" w:hAnsi="Comic Sans MS"/>
                                            <w:b/>
                                            <w:noProof/>
                                            <w:color w:val="00B050"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Twitter justchad_cga)</w:t>
                                        </w:r>
                                      </w:p>
                                      <w:p w:rsidR="00044293" w:rsidRPr="00512A64" w:rsidRDefault="0097070B" w:rsidP="00DA4B02">
                                        <w:pPr>
                                          <w:spacing w:line="240" w:lineRule="auto"/>
                                          <w:rPr>
                                            <w:noProof/>
                                            <w:lang w:val="af-ZA"/>
                                          </w:rPr>
                                        </w:pPr>
                                        <w:r w:rsidRPr="00512A6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Justin Chadwick 20</w:t>
                                        </w:r>
                                        <w:r w:rsidR="004C027C" w:rsidRPr="00512A6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O</w:t>
                                        </w:r>
                                        <w:r w:rsidR="00512A6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k</w:t>
                                        </w:r>
                                        <w:r w:rsidR="004C027C" w:rsidRPr="00512A6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>tober</w:t>
                                        </w:r>
                                        <w:r w:rsidR="00783644" w:rsidRPr="00512A64">
                                          <w:rPr>
                                            <w:rFonts w:ascii="Comic Sans MS" w:hAnsi="Comic Sans MS"/>
                                            <w:i/>
                                            <w:noProof/>
                                            <w:sz w:val="20"/>
                                            <w:szCs w:val="20"/>
                                            <w:lang w:val="af-ZA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Pr="00512A64" w:rsidRDefault="00512A64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UIT DIE PEN VAN DIE </w:t>
                                  </w:r>
                                  <w:r w:rsidR="00044293" w:rsidRPr="00512A6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CEO</w:t>
                                  </w:r>
                                  <w:r w:rsidR="0097070B" w:rsidRPr="00512A6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 xml:space="preserve"> (40</w:t>
                                  </w:r>
                                  <w:r w:rsidR="00044293" w:rsidRPr="00512A64">
                                    <w:rPr>
                                      <w:rFonts w:ascii="Comic Sans MS" w:hAnsi="Comic Sans MS"/>
                                      <w:b/>
                                      <w:i/>
                                      <w:noProof/>
                                      <w:sz w:val="32"/>
                                      <w:szCs w:val="32"/>
                                      <w:lang w:val="af-ZA"/>
                                    </w:rPr>
                                    <w:t>/17)</w:t>
                                  </w:r>
                                </w:p>
                                <w:p w:rsidR="00044293" w:rsidRPr="00512A64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</w:pPr>
                                  <w:r w:rsidRPr="00512A6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(</w:t>
                                  </w:r>
                                  <w:r w:rsidR="00512A6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Volg my op </w:t>
                                  </w:r>
                                  <w:r w:rsidRPr="00512A64"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B050"/>
                                      <w:sz w:val="20"/>
                                      <w:szCs w:val="20"/>
                                      <w:lang w:val="af-ZA"/>
                                    </w:rPr>
                                    <w:t>Twitter justchad_cga)</w:t>
                                  </w:r>
                                </w:p>
                                <w:p w:rsidR="00044293" w:rsidRPr="00512A64" w:rsidRDefault="0097070B" w:rsidP="00DA4B02">
                                  <w:pPr>
                                    <w:spacing w:line="240" w:lineRule="auto"/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512A6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Justin Chadwick 20</w:t>
                                  </w:r>
                                  <w:r w:rsidR="004C027C" w:rsidRPr="00512A6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O</w:t>
                                  </w:r>
                                  <w:r w:rsidR="00512A6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k</w:t>
                                  </w:r>
                                  <w:r w:rsidR="004C027C" w:rsidRPr="00512A6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>tober</w:t>
                                  </w:r>
                                  <w:r w:rsidR="00783644" w:rsidRPr="00512A64">
                                    <w:rPr>
                                      <w:rFonts w:ascii="Comic Sans MS" w:hAnsi="Comic Sans MS"/>
                                      <w:i/>
                                      <w:noProof/>
                                      <w:sz w:val="20"/>
                                      <w:szCs w:val="20"/>
                                      <w:lang w:val="af-ZA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501596">
              <w:trPr>
                <w:trHeight w:val="39"/>
                <w:tblCellSpacing w:w="0" w:type="dxa"/>
              </w:trPr>
              <w:tc>
                <w:tcPr>
                  <w:tcW w:w="10759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802937" w:rsidRDefault="00196382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</w:pPr>
            <w:r w:rsidRPr="00390357">
              <w:rPr>
                <w:rFonts w:ascii="Arial" w:eastAsia="Times New Roman" w:hAnsi="Arial" w:cs="Arial"/>
                <w:b/>
                <w:i/>
                <w:color w:val="181818"/>
                <w:lang w:val="en-US"/>
              </w:rPr>
              <w:t>“The secret of change is to focus all of your energy, not on fighting the old, but in building the new” Socrates</w:t>
            </w:r>
          </w:p>
          <w:p w:rsidR="00802937" w:rsidRPr="00802937" w:rsidRDefault="00802937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6"/>
                <w:szCs w:val="6"/>
                <w:lang w:val="en-US"/>
              </w:rPr>
            </w:pPr>
          </w:p>
          <w:p w:rsidR="006A02DF" w:rsidRPr="006A02DF" w:rsidRDefault="006A02DF" w:rsidP="006A02DF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C00000"/>
                <w:u w:val="single"/>
                <w:lang w:val="af-ZA"/>
              </w:rPr>
            </w:pPr>
            <w:r w:rsidRPr="006A02DF">
              <w:rPr>
                <w:rFonts w:ascii="Arial" w:hAnsi="Arial" w:cs="Arial"/>
                <w:b/>
                <w:noProof/>
                <w:color w:val="C00000"/>
                <w:u w:val="single"/>
                <w:lang w:val="af-ZA"/>
              </w:rPr>
              <w:t>2018 - “NOT BUSINESS AS USUAL”</w:t>
            </w:r>
          </w:p>
          <w:p w:rsidR="006A02DF" w:rsidRPr="006A02DF" w:rsidRDefault="006A02DF" w:rsidP="006A02DF">
            <w:pPr>
              <w:spacing w:line="240" w:lineRule="auto"/>
              <w:jc w:val="both"/>
              <w:rPr>
                <w:rFonts w:ascii="Arial" w:hAnsi="Arial" w:cs="Arial"/>
                <w:noProof/>
                <w:lang w:val="af-ZA"/>
              </w:rPr>
            </w:pPr>
            <w:r w:rsidRPr="006A02DF">
              <w:rPr>
                <w:rFonts w:ascii="Arial" w:hAnsi="Arial" w:cs="Arial"/>
                <w:noProof/>
                <w:lang w:val="af-ZA"/>
              </w:rPr>
              <w:t xml:space="preserve">Tydens laas week se DAFF-vergadering is die Valskodlingmot Risikobestuurstelsel (FMS) in diepte bespreek. Aanbiedings het verduidelik </w:t>
            </w:r>
            <w:r w:rsidRPr="006A02DF">
              <w:rPr>
                <w:rFonts w:ascii="Arial" w:hAnsi="Arial" w:cs="Arial"/>
                <w:b/>
                <w:noProof/>
                <w:color w:val="FF0000"/>
                <w:lang w:val="af-ZA"/>
              </w:rPr>
              <w:t>waarom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 die FMS ingestel word, en die alternatiewe sou die FMS nie werk nie; </w:t>
            </w:r>
            <w:r w:rsidRPr="006A02DF">
              <w:rPr>
                <w:rFonts w:ascii="Arial" w:hAnsi="Arial" w:cs="Arial"/>
                <w:b/>
                <w:noProof/>
                <w:color w:val="FF0000"/>
                <w:lang w:val="af-ZA"/>
              </w:rPr>
              <w:t xml:space="preserve">wat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gedoen moet word om te voldoen; en </w:t>
            </w:r>
            <w:r w:rsidRPr="006A02DF">
              <w:rPr>
                <w:rFonts w:ascii="Arial" w:hAnsi="Arial" w:cs="Arial"/>
                <w:b/>
                <w:noProof/>
                <w:color w:val="FF0000"/>
                <w:lang w:val="af-ZA"/>
              </w:rPr>
              <w:t>hoe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 dit in terme van registrasies, dokumentasie en ander administrasie gedoen moet word. Daar is baie wat gedoen moet word, en baie verantwoordelikheid op almal in die voors</w:t>
            </w:r>
            <w:r>
              <w:rPr>
                <w:rFonts w:ascii="Arial" w:hAnsi="Arial" w:cs="Arial"/>
                <w:noProof/>
                <w:lang w:val="af-ZA"/>
              </w:rPr>
              <w:t>ienings</w:t>
            </w:r>
            <w:r w:rsidRPr="006A02DF">
              <w:rPr>
                <w:rFonts w:ascii="Arial" w:hAnsi="Arial" w:cs="Arial"/>
                <w:noProof/>
                <w:lang w:val="af-ZA"/>
              </w:rPr>
              <w:t>ketting om dit reg te doen - die alternatief is te erg om te oorweeg.</w:t>
            </w:r>
            <w:r>
              <w:rPr>
                <w:rFonts w:ascii="Arial" w:hAnsi="Arial" w:cs="Arial"/>
                <w:noProof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Wat noodsaaklik is, is dat almal weet wat gedoen moet word - daar is baie om in te neem en baie om te verstaan. DAFF, CGA en PPECB gaan nou op 'n roadshow om die aanbiedings van die Addo-vergadering na die streke te neem; </w:t>
            </w:r>
            <w:r w:rsidR="00A542BC"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u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 xml:space="preserve"> moet </w:t>
            </w:r>
            <w:r w:rsidR="00720BA6">
              <w:rPr>
                <w:rFonts w:ascii="Arial" w:hAnsi="Arial" w:cs="Arial"/>
                <w:b/>
                <w:noProof/>
                <w:color w:val="FF0000"/>
                <w:lang w:val="af-ZA"/>
              </w:rPr>
              <w:t xml:space="preserve">dit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asseblief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bywoon</w:t>
            </w:r>
            <w:r w:rsidRPr="006A02DF">
              <w:rPr>
                <w:rFonts w:ascii="Arial" w:hAnsi="Arial" w:cs="Arial"/>
                <w:noProof/>
                <w:lang w:val="af-ZA"/>
              </w:rPr>
              <w:t>. In 2018 moet daar</w:t>
            </w:r>
            <w:r w:rsidR="00720BA6">
              <w:rPr>
                <w:rFonts w:ascii="Arial" w:hAnsi="Arial" w:cs="Arial"/>
                <w:noProof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aan die FMS voldoen word, dis verpligtend – as </w:t>
            </w:r>
            <w:r w:rsidR="00A542BC">
              <w:rPr>
                <w:rFonts w:ascii="Arial" w:hAnsi="Arial" w:cs="Arial"/>
                <w:noProof/>
                <w:lang w:val="af-ZA"/>
              </w:rPr>
              <w:t>u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 nie voldoen nie, sal u vrugte nie na die EU kan gaan nie. Datums, tye en plekke is soos volg:</w:t>
            </w:r>
            <w:r>
              <w:rPr>
                <w:rFonts w:ascii="Arial" w:hAnsi="Arial" w:cs="Arial"/>
                <w:noProof/>
                <w:lang w:val="af-ZA"/>
              </w:rPr>
              <w:t xml:space="preserve">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Nelspruit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CRI Opleidingslokaal 23 Oktober om 09:00;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Hoedspruit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Hengelklub 24 Oktober om 10:00;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Letsitele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Tzaneen Country Lodge 25 Oktober om 09:00;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Marble Hall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Toitskraal 26 Oktober om 10:00;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Musina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Munisipale Skougronde: Landbou Saal 27 Oktober om 09:00; </w:t>
            </w:r>
            <w:r w:rsidRPr="00A542BC">
              <w:rPr>
                <w:rFonts w:ascii="Arial" w:hAnsi="Arial" w:cs="Arial"/>
                <w:b/>
                <w:noProof/>
                <w:color w:val="FF0000"/>
                <w:lang w:val="af-ZA"/>
              </w:rPr>
              <w:t>Nkwalini</w:t>
            </w:r>
            <w:r w:rsidRPr="00A542BC">
              <w:rPr>
                <w:rFonts w:ascii="Arial" w:hAnsi="Arial" w:cs="Arial"/>
                <w:noProof/>
                <w:color w:val="FF0000"/>
                <w:lang w:val="af-ZA"/>
              </w:rPr>
              <w:t xml:space="preserve"> </w:t>
            </w:r>
            <w:r w:rsidRPr="006A02DF">
              <w:rPr>
                <w:rFonts w:ascii="Arial" w:hAnsi="Arial" w:cs="Arial"/>
                <w:noProof/>
                <w:lang w:val="af-ZA"/>
              </w:rPr>
              <w:t xml:space="preserve">Boeresaal 30 Oktober om 09:00 en </w:t>
            </w:r>
            <w:r w:rsidRPr="006A02DF">
              <w:rPr>
                <w:rFonts w:ascii="Arial" w:eastAsia="Times New Roman" w:hAnsi="Arial" w:cs="Arial"/>
                <w:b/>
                <w:noProof/>
                <w:color w:val="FF0000"/>
                <w:lang w:val="af-ZA"/>
              </w:rPr>
              <w:t>Stellenbosch</w:t>
            </w:r>
            <w:r w:rsidRPr="006A02DF">
              <w:rPr>
                <w:rFonts w:ascii="Arial" w:eastAsia="Times New Roman" w:hAnsi="Arial" w:cs="Arial"/>
                <w:noProof/>
                <w:lang w:val="af-ZA"/>
              </w:rPr>
              <w:t xml:space="preserve"> LNR Infruitec Olive Grove 31 Oktober om 09:00.</w:t>
            </w:r>
          </w:p>
          <w:p w:rsidR="00390357" w:rsidRDefault="00390357" w:rsidP="00390357">
            <w:pPr>
              <w:spacing w:after="0"/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>S</w:t>
            </w:r>
            <w:r w:rsidR="00E87353"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 xml:space="preserve">UIDELIKE </w:t>
            </w:r>
            <w:r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>H</w:t>
            </w:r>
            <w:r w:rsidR="00E87353"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 xml:space="preserve">ALFROND SE UITVOERE </w:t>
            </w:r>
            <w:r>
              <w:rPr>
                <w:rFonts w:ascii="Arial" w:eastAsia="Times New Roman" w:hAnsi="Arial" w:cs="Arial"/>
                <w:b/>
                <w:color w:val="C00000"/>
                <w:u w:val="single"/>
                <w:lang w:val="en-US"/>
              </w:rPr>
              <w:t>2016</w:t>
            </w:r>
          </w:p>
          <w:p w:rsidR="00EA447D" w:rsidRPr="002F2FD6" w:rsidRDefault="00E87C50" w:rsidP="00A4284E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 w:rsidRPr="00E87C50">
              <w:rPr>
                <w:rFonts w:ascii="Arial" w:eastAsia="Times New Roman" w:hAnsi="Arial" w:cs="Arial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179070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7C50" w:rsidRPr="00E87353" w:rsidRDefault="00E87353">
                                  <w:pPr>
                                    <w:rPr>
                                      <w:noProof/>
                                      <w:lang w:val="af-ZA"/>
                                    </w:rPr>
                                  </w:pPr>
                                  <w:r w:rsidRPr="00E87353">
                                    <w:rPr>
                                      <w:noProof/>
                                      <w:lang w:val="af-ZA"/>
                                    </w:rPr>
                                    <w:t>By die Southern Hemisphere Association of Fresh Fruit Exporters  (SHAFFE) in New Orleans het die sekretariaat Suid-Afrika se status as die grootste volume uitvoerder van vars vrugte in die suidelike halfrond bevestig.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6.5pt;margin-top:14.1pt;width:185.9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FZswGDgAAAACgEAAA8AAABkcnMvZG93bnJldi54&#10;bWxMj8FOwzAMhu9IvENkJG4sXelQV5pOiGlnxkBCu6WJ11RrktJkXcfTY07jaPvX7+8rV5Pt2IhD&#10;aL0TMJ8lwNApr1vXCPj82DzkwEKUTsvOOxRwwQCr6vamlIX2Z/eO4y42jEpcKKQAE2NfcB6UQSvD&#10;zPfo6Hbwg5WRxqHhepBnKrcdT5PkiVvZOvpgZI+vBtVxd7ICwnr73avDtj4affl5W48L9bXZC3F/&#10;N708A4s4xWsY/vAJHSpiqv3J6cA6AYv5I7lEAWmeAqNAnmfkUtMiW2bAq5L/V6h+AQAA//8DAFBL&#10;AQItABQABgAIAAAAIQC2gziS/gAAAOEBAAATAAAAAAAAAAAAAAAAAAAAAABbQ29udGVudF9UeXBl&#10;c10ueG1sUEsBAi0AFAAGAAgAAAAhADj9If/WAAAAlAEAAAsAAAAAAAAAAAAAAAAALwEAAF9yZWxz&#10;Ly5yZWxzUEsBAi0AFAAGAAgAAAAhAAQIOAwoAgAATgQAAA4AAAAAAAAAAAAAAAAALgIAAGRycy9l&#10;Mm9Eb2MueG1sUEsBAi0AFAAGAAgAAAAhAFZswGDgAAAACgEAAA8AAAAAAAAAAAAAAAAAggQAAGRy&#10;cy9kb3ducmV2LnhtbFBLBQYAAAAABAAEAPMAAACPBQAAAAA=&#10;">
                      <v:textbox style="mso-fit-shape-to-text:t">
                        <w:txbxContent>
                          <w:p w:rsidR="00E87C50" w:rsidRPr="00E87353" w:rsidRDefault="00E87353">
                            <w:pPr>
                              <w:rPr>
                                <w:noProof/>
                                <w:lang w:val="af-ZA"/>
                              </w:rPr>
                            </w:pPr>
                            <w:r w:rsidRPr="00E87353">
                              <w:rPr>
                                <w:noProof/>
                                <w:lang w:val="af-ZA"/>
                              </w:rPr>
                              <w:t>By die Southern Hemisphere Association of Fresh Fruit Exporters  (SHAFFE) in New Orleans het die sekretariaat Suid-Afrika se status as die grootste volume uitvoerder van vars vrugte in die suidelike halfrond bevestig.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0357" w:rsidRPr="00390357">
              <w:rPr>
                <w:rFonts w:ascii="Arial" w:eastAsia="Times New Roman" w:hAnsi="Arial" w:cs="Arial"/>
                <w:noProof/>
                <w:lang w:val="en-US"/>
              </w:rPr>
              <w:drawing>
                <wp:inline distT="0" distB="0" distL="0" distR="0">
                  <wp:extent cx="3063226" cy="228902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886" cy="2302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490" w:rsidRPr="00745F82" w:rsidRDefault="00AF7490" w:rsidP="00A4284E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501596" w:rsidRPr="00501596" w:rsidRDefault="00720BA6" w:rsidP="00501596">
            <w:pPr>
              <w:pStyle w:val="PlainText"/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BOOM</w:t>
            </w:r>
            <w:r w:rsidR="00501596" w:rsidRPr="00501596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  <w:lang w:val="en-US"/>
              </w:rPr>
              <w:t>S</w:t>
            </w:r>
            <w:r w:rsidR="00501596" w:rsidRPr="00501596">
              <w:rPr>
                <w:rFonts w:ascii="Arial" w:hAnsi="Arial" w:cs="Arial"/>
                <w:b/>
                <w:color w:val="C00000"/>
                <w:sz w:val="22"/>
                <w:szCs w:val="22"/>
                <w:u w:val="single"/>
              </w:rPr>
              <w:t>ENSUS DATA</w:t>
            </w:r>
          </w:p>
          <w:p w:rsidR="00501596" w:rsidRPr="00501596" w:rsidRDefault="00501596" w:rsidP="00501596">
            <w:pPr>
              <w:pStyle w:val="PlainText"/>
              <w:jc w:val="both"/>
              <w:rPr>
                <w:rFonts w:ascii="Arial" w:hAnsi="Arial" w:cs="Arial"/>
                <w:noProof/>
                <w:sz w:val="22"/>
                <w:szCs w:val="22"/>
                <w:lang w:val="af-ZA"/>
              </w:rPr>
            </w:pP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CGA het dit baie makliker vi</w:t>
            </w:r>
            <w:r w:rsidR="00720BA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r produsente gemaak om hul boom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sensus data te voltooi. Die data wat in die registrasieproses versamel word, word nou direk in die boomsensus </w:t>
            </w:r>
            <w:r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in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gevoer – vermy </w:t>
            </w:r>
            <w:r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so 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die nodigheid vir addisionele insette.</w:t>
            </w:r>
          </w:p>
          <w:p w:rsidR="00501596" w:rsidRPr="00501596" w:rsidRDefault="00501596" w:rsidP="00501596">
            <w:pPr>
              <w:pStyle w:val="PlainText"/>
              <w:jc w:val="both"/>
              <w:rPr>
                <w:rFonts w:ascii="Arial" w:hAnsi="Arial" w:cs="Arial"/>
                <w:noProof/>
                <w:sz w:val="22"/>
                <w:szCs w:val="22"/>
                <w:lang w:val="af-ZA"/>
              </w:rPr>
            </w:pP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Om 'n akkurate en volledige boomsensus van die Suid-Afrikaanse sitrusbedryf moontlik te maak</w:t>
            </w:r>
            <w:r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,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 as 'n newe-produk van die huidige registrasieproses,  sluit asseblief alle boorde onder verbouing in, ongeag die ouderdom. Dit sal meer volledige statistieke moontlik maak en </w:t>
            </w:r>
            <w:r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ook 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 xml:space="preserve">help om meer akkurate voorspellings van toekomstige groei </w:t>
            </w:r>
            <w:r w:rsidR="00720BA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te doen</w:t>
            </w:r>
            <w:r w:rsidRPr="00501596">
              <w:rPr>
                <w:rFonts w:ascii="Arial" w:hAnsi="Arial" w:cs="Arial"/>
                <w:noProof/>
                <w:sz w:val="22"/>
                <w:szCs w:val="22"/>
                <w:lang w:val="af-ZA"/>
              </w:rPr>
              <w:t>.</w:t>
            </w:r>
          </w:p>
          <w:p w:rsidR="00012E64" w:rsidRDefault="00E87353" w:rsidP="009146C3">
            <w:pPr>
              <w:spacing w:after="0"/>
              <w:jc w:val="both"/>
              <w:rPr>
                <w:rFonts w:ascii="Arial" w:hAnsi="Arial" w:cs="Arial"/>
                <w:b/>
                <w:bCs/>
                <w:color w:val="632423"/>
                <w:u w:val="single"/>
              </w:rPr>
            </w:pPr>
            <w:r>
              <w:rPr>
                <w:rFonts w:ascii="Arial" w:hAnsi="Arial" w:cs="Arial"/>
                <w:b/>
                <w:bCs/>
                <w:color w:val="632423"/>
                <w:u w:val="single"/>
              </w:rPr>
              <w:t>GEPAK EN VERSKEEP</w:t>
            </w:r>
          </w:p>
          <w:tbl>
            <w:tblPr>
              <w:tblpPr w:leftFromText="180" w:rightFromText="180" w:vertAnchor="text" w:horzAnchor="margin" w:tblpY="162"/>
              <w:tblOverlap w:val="never"/>
              <w:tblW w:w="107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5"/>
              <w:gridCol w:w="900"/>
              <w:gridCol w:w="1080"/>
              <w:gridCol w:w="990"/>
              <w:gridCol w:w="990"/>
              <w:gridCol w:w="1080"/>
              <w:gridCol w:w="1530"/>
              <w:gridCol w:w="1245"/>
              <w:gridCol w:w="1049"/>
            </w:tblGrid>
            <w:tr w:rsidR="00501596" w:rsidRPr="00E87353" w:rsidTr="00501596">
              <w:trPr>
                <w:trHeight w:val="401"/>
              </w:trPr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1014" w:rsidRPr="00E87353" w:rsidRDefault="007B1014" w:rsidP="007B101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bookmarkStart w:id="0" w:name="OLE_LINK1"/>
                  <w:bookmarkStart w:id="1" w:name="OLE_LINK2"/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To</w:t>
                  </w:r>
                  <w:r w:rsid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t</w:t>
                  </w:r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E</w:t>
                  </w:r>
                  <w:r w:rsid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i</w:t>
                  </w:r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nd</w:t>
                  </w:r>
                  <w:r w:rsidR="00A542BC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e</w:t>
                  </w:r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Week </w:t>
                  </w:r>
                  <w:r w:rsidR="002F2FD6"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41</w:t>
                  </w:r>
                </w:p>
                <w:p w:rsidR="007B1014" w:rsidRPr="00E87353" w:rsidRDefault="00E87353" w:rsidP="00E8735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Miljoen 15 Kg Kartonne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B1014" w:rsidRPr="00E87353" w:rsidRDefault="00E87353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  <w:r w:rsidR="007B1014"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01596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01596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501596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501596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af-ZA"/>
                    </w:rPr>
                    <w:t>Verskeep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50159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Aanvanklike Skatting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B1014" w:rsidRPr="00E87353" w:rsidRDefault="00501596" w:rsidP="0050159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Nuutste Voorspelling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Fina</w:t>
                  </w:r>
                  <w:r w:rsidR="0050159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a</w:t>
                  </w:r>
                  <w:r w:rsidRPr="00E87353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 xml:space="preserve">l </w:t>
                  </w:r>
                  <w:r w:rsidR="00501596"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  <w:t>Gepak</w:t>
                  </w:r>
                </w:p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af-ZA"/>
                    </w:rPr>
                  </w:pPr>
                </w:p>
              </w:tc>
            </w:tr>
            <w:tr w:rsidR="00501596" w:rsidRPr="00E87353" w:rsidTr="00501596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E87353" w:rsidP="007B1014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BRON</w:t>
                  </w:r>
                  <w:r w:rsidR="007B1014" w:rsidRPr="00E87353">
                    <w:rPr>
                      <w:rFonts w:ascii="Arial" w:hAnsi="Arial" w:cs="Arial"/>
                      <w:b/>
                      <w:noProof/>
                      <w:sz w:val="12"/>
                      <w:szCs w:val="12"/>
                      <w:lang w:val="af-ZA"/>
                    </w:rPr>
                    <w:t>: PPECB/AGRIHUB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2015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2017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2016</w:t>
                  </w:r>
                </w:p>
              </w:tc>
            </w:tr>
            <w:tr w:rsidR="00501596" w:rsidRPr="00E87353" w:rsidTr="00501596">
              <w:trPr>
                <w:trHeight w:val="214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E87353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Pomelo’s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16.1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15.7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14.2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15.6 m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A03CB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 xml:space="preserve"> 15.7</w:t>
                  </w:r>
                  <w:r w:rsidR="007B1014" w:rsidRPr="00E87353">
                    <w:rPr>
                      <w:noProof/>
                      <w:lang w:val="af-ZA"/>
                    </w:rPr>
                    <w:t xml:space="preserve"> m 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13.8 m</w:t>
                  </w:r>
                </w:p>
              </w:tc>
            </w:tr>
            <w:tr w:rsidR="00501596" w:rsidRPr="00E87353" w:rsidTr="00501596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7B1014" w:rsidP="00E87353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  <w:r w:rsid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agte Sitrus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132F99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10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12.2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13.4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11.3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13.2 m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F10510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13.4</w:t>
                  </w:r>
                  <w:r w:rsidR="00682D2D" w:rsidRPr="00E87353">
                    <w:rPr>
                      <w:noProof/>
                      <w:lang w:val="af-ZA"/>
                    </w:rPr>
                    <w:t xml:space="preserve"> m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12.2 m</w:t>
                  </w:r>
                </w:p>
              </w:tc>
            </w:tr>
            <w:tr w:rsidR="00501596" w:rsidRPr="00E87353" w:rsidTr="00501596">
              <w:trPr>
                <w:trHeight w:val="18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E87353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Suurlemoene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15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15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19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14.6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18.8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17.5 m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E5203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color w:val="000000" w:themeColor="text1"/>
                      <w:lang w:val="af-ZA"/>
                    </w:rPr>
                    <w:t>19 m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15 m</w:t>
                  </w:r>
                </w:p>
              </w:tc>
            </w:tr>
            <w:tr w:rsidR="00501596" w:rsidRPr="00E87353" w:rsidTr="00501596">
              <w:trPr>
                <w:trHeight w:val="200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E87353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Naw</w:t>
                  </w:r>
                  <w:r w:rsidR="007B1014" w:rsidRP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els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22789A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24.5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26.2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21.1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D94665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25.5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21.1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26.3 m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b/>
                      <w:noProof/>
                      <w:color w:val="FF0000"/>
                      <w:lang w:val="af-ZA"/>
                    </w:rPr>
                    <w:t>21.1 m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26.2 m</w:t>
                  </w:r>
                </w:p>
              </w:tc>
            </w:tr>
            <w:tr w:rsidR="00501596" w:rsidRPr="00E87353" w:rsidTr="00501596">
              <w:trPr>
                <w:trHeight w:val="245"/>
              </w:trPr>
              <w:tc>
                <w:tcPr>
                  <w:tcW w:w="1885" w:type="dxa"/>
                  <w:tcBorders>
                    <w:left w:val="single" w:sz="4" w:space="0" w:color="auto"/>
                  </w:tcBorders>
                </w:tcPr>
                <w:p w:rsidR="007B1014" w:rsidRPr="00E87353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Valencia</w:t>
                  </w:r>
                  <w:r w:rsid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s</w:t>
                  </w:r>
                </w:p>
              </w:tc>
              <w:tc>
                <w:tcPr>
                  <w:tcW w:w="900" w:type="dxa"/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52.4 m</w:t>
                  </w:r>
                </w:p>
              </w:tc>
              <w:tc>
                <w:tcPr>
                  <w:tcW w:w="1080" w:type="dxa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41.6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53.5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39.6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57121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49.3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50.1 m</w:t>
                  </w:r>
                </w:p>
              </w:tc>
              <w:tc>
                <w:tcPr>
                  <w:tcW w:w="1245" w:type="dxa"/>
                  <w:shd w:val="clear" w:color="auto" w:fill="E6E6E6"/>
                </w:tcPr>
                <w:p w:rsidR="007B1014" w:rsidRPr="00E87353" w:rsidRDefault="003A0D18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color w:val="FF0000"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b/>
                      <w:noProof/>
                      <w:color w:val="FF0000"/>
                      <w:lang w:val="af-ZA"/>
                    </w:rPr>
                    <w:t>53.5 m</w:t>
                  </w:r>
                </w:p>
              </w:tc>
              <w:tc>
                <w:tcPr>
                  <w:tcW w:w="1049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41.8 m</w:t>
                  </w:r>
                </w:p>
              </w:tc>
            </w:tr>
            <w:tr w:rsidR="00501596" w:rsidRPr="00E87353" w:rsidTr="00501596">
              <w:trPr>
                <w:trHeight w:val="214"/>
              </w:trPr>
              <w:tc>
                <w:tcPr>
                  <w:tcW w:w="188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1014" w:rsidRPr="00E87353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Tota</w:t>
                  </w:r>
                  <w:r w:rsid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a</w:t>
                  </w:r>
                  <w:r w:rsidRPr="00E87353"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  <w:t>l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118 m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108.8 m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122.7 m</w:t>
                  </w:r>
                </w:p>
              </w:tc>
              <w:tc>
                <w:tcPr>
                  <w:tcW w:w="99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104.2 m</w:t>
                  </w:r>
                </w:p>
              </w:tc>
              <w:tc>
                <w:tcPr>
                  <w:tcW w:w="1080" w:type="dxa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116.4 m</w:t>
                  </w:r>
                </w:p>
              </w:tc>
              <w:tc>
                <w:tcPr>
                  <w:tcW w:w="1530" w:type="dxa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B1014" w:rsidRPr="00E87353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122.7 m</w:t>
                  </w:r>
                </w:p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B1014" w:rsidRPr="00E87353" w:rsidRDefault="0080293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122.7 m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E87353" w:rsidRDefault="0066776B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val="af-ZA"/>
                    </w:rPr>
                  </w:pPr>
                  <w:r w:rsidRPr="00E87353">
                    <w:rPr>
                      <w:noProof/>
                      <w:lang w:val="af-ZA"/>
                    </w:rPr>
                    <w:t>109</w:t>
                  </w:r>
                  <w:r w:rsidR="007B1014" w:rsidRPr="00E87353">
                    <w:rPr>
                      <w:noProof/>
                      <w:lang w:val="af-ZA"/>
                    </w:rPr>
                    <w:t xml:space="preserve"> m</w:t>
                  </w:r>
                </w:p>
              </w:tc>
            </w:tr>
            <w:bookmarkEnd w:id="0"/>
            <w:bookmarkEnd w:id="1"/>
          </w:tbl>
          <w:p w:rsidR="00101314" w:rsidRPr="009C2513" w:rsidRDefault="00101314" w:rsidP="00F16C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77729F" w:rsidRPr="00012E64" w:rsidRDefault="0077729F" w:rsidP="0037181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748C7">
        <w:rPr>
          <w:rFonts w:ascii="Berlin Sans FB Demi" w:hAnsi="Berlin Sans FB Demi" w:cs="Arial"/>
          <w:color w:val="FF0000"/>
          <w:sz w:val="18"/>
        </w:rPr>
        <w:t>DIE CGA GROEP VAN MAATSKAPPYE (CRI, RIVER BIOSCIENCE, XSIT, CGA CULTIVAR COMPANY, CGA GROWER DEVELOPMENT COMPANY &amp; CITRUS ACADEMY) WORD DEUR SUIDER-AFRIKA SE SITRUSPRODUSENTE BEFOND</w:t>
      </w:r>
      <w:r>
        <w:rPr>
          <w:rFonts w:ascii="Berlin Sans FB Demi" w:hAnsi="Berlin Sans FB Demi" w:cs="Arial"/>
          <w:color w:val="FF0000"/>
          <w:sz w:val="18"/>
        </w:rPr>
        <w:t>S</w:t>
      </w:r>
    </w:p>
    <w:p w:rsidR="00F553C7" w:rsidRPr="003363E1" w:rsidRDefault="00F553C7" w:rsidP="00DA4B02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  <w:bookmarkStart w:id="2" w:name="_GoBack"/>
      <w:bookmarkEnd w:id="2"/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4.95pt;height:120.15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2E64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143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84C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2F99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6382"/>
    <w:rsid w:val="00197087"/>
    <w:rsid w:val="00197EB2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89A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C7EDE"/>
    <w:rsid w:val="002D2D32"/>
    <w:rsid w:val="002D2D4B"/>
    <w:rsid w:val="002D328A"/>
    <w:rsid w:val="002D39FE"/>
    <w:rsid w:val="002D5CFA"/>
    <w:rsid w:val="002D6368"/>
    <w:rsid w:val="002E01E8"/>
    <w:rsid w:val="002E1A60"/>
    <w:rsid w:val="002E2228"/>
    <w:rsid w:val="002E2EC0"/>
    <w:rsid w:val="002E3B72"/>
    <w:rsid w:val="002E4391"/>
    <w:rsid w:val="002E44E2"/>
    <w:rsid w:val="002E606B"/>
    <w:rsid w:val="002F0446"/>
    <w:rsid w:val="002F04FF"/>
    <w:rsid w:val="002F0EB8"/>
    <w:rsid w:val="002F13B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25503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59A"/>
    <w:rsid w:val="00351713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1817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61D5"/>
    <w:rsid w:val="003A02EE"/>
    <w:rsid w:val="003A0696"/>
    <w:rsid w:val="003A08A6"/>
    <w:rsid w:val="003A08AC"/>
    <w:rsid w:val="003A0C6B"/>
    <w:rsid w:val="003A0D18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1D48"/>
    <w:rsid w:val="003C2597"/>
    <w:rsid w:val="003C2958"/>
    <w:rsid w:val="003C30EB"/>
    <w:rsid w:val="003C34BC"/>
    <w:rsid w:val="003C3548"/>
    <w:rsid w:val="003C3E09"/>
    <w:rsid w:val="003C52FC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6392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024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1564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44D5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596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2A64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1E51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0B76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1B64"/>
    <w:rsid w:val="00662813"/>
    <w:rsid w:val="00662CA2"/>
    <w:rsid w:val="00663C7D"/>
    <w:rsid w:val="00663E50"/>
    <w:rsid w:val="00664F33"/>
    <w:rsid w:val="00666FB9"/>
    <w:rsid w:val="0066776B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DBC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97E41"/>
    <w:rsid w:val="006A02DF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17941"/>
    <w:rsid w:val="00720BA6"/>
    <w:rsid w:val="00720CD9"/>
    <w:rsid w:val="0072107B"/>
    <w:rsid w:val="0072285A"/>
    <w:rsid w:val="007229F0"/>
    <w:rsid w:val="00723060"/>
    <w:rsid w:val="007232BD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C2D"/>
    <w:rsid w:val="00753377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29F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1DA9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E8B"/>
    <w:rsid w:val="009540D2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070B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53B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42BC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0843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AF7490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47BC3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2C5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9EF"/>
    <w:rsid w:val="00D20ED0"/>
    <w:rsid w:val="00D223B6"/>
    <w:rsid w:val="00D230E1"/>
    <w:rsid w:val="00D23979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4B5B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A763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10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203C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4F55"/>
    <w:rsid w:val="00E65260"/>
    <w:rsid w:val="00E6642B"/>
    <w:rsid w:val="00E717D8"/>
    <w:rsid w:val="00E719F4"/>
    <w:rsid w:val="00E7205D"/>
    <w:rsid w:val="00E7717D"/>
    <w:rsid w:val="00E80953"/>
    <w:rsid w:val="00E8177F"/>
    <w:rsid w:val="00E83960"/>
    <w:rsid w:val="00E855FF"/>
    <w:rsid w:val="00E87353"/>
    <w:rsid w:val="00E87C50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4D0D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08DE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6CB87-D40E-4BF1-802A-4459B4C6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Elma</cp:lastModifiedBy>
  <cp:revision>2</cp:revision>
  <cp:lastPrinted>2017-09-15T08:19:00Z</cp:lastPrinted>
  <dcterms:created xsi:type="dcterms:W3CDTF">2017-10-20T12:18:00Z</dcterms:created>
  <dcterms:modified xsi:type="dcterms:W3CDTF">2017-10-20T12:18:00Z</dcterms:modified>
</cp:coreProperties>
</file>