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901D81" w:rsidTr="00894C89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78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284"/>
              <w:gridCol w:w="150"/>
            </w:tblGrid>
            <w:tr w:rsidR="00B416E0" w:rsidRPr="008C6E3A" w:rsidTr="00F80EB8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0138ED" w:rsidRDefault="000138ED" w:rsidP="000138E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UIT DIE PEN VAN DIE </w:t>
                  </w:r>
                  <w:r w:rsidR="00B416E0" w:rsidRPr="000138ED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CEO</w:t>
                  </w:r>
                  <w:r w:rsidR="00906066" w:rsidRPr="000138ED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 (44</w:t>
                  </w:r>
                  <w:r w:rsidR="00B416E0" w:rsidRPr="000138ED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/18)</w:t>
                  </w:r>
                </w:p>
                <w:p w:rsidR="00B416E0" w:rsidRPr="000138ED" w:rsidRDefault="00B416E0" w:rsidP="000138ED">
                  <w:pPr>
                    <w:spacing w:after="0" w:line="240" w:lineRule="auto"/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</w:pPr>
                  <w:r w:rsidRP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(</w:t>
                  </w:r>
                  <w:r w:rsid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Volg my op </w:t>
                  </w:r>
                  <w:r w:rsidRP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Twitter justchad_cga</w:t>
                  </w:r>
                  <w:r w:rsidR="00224E30" w:rsidRP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; </w:t>
                  </w:r>
                  <w:r w:rsid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nou ‘n </w:t>
                  </w:r>
                  <w:r w:rsidR="00224E30" w:rsidRP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 1 000</w:t>
                  </w:r>
                  <w:r w:rsid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 wat my volg</w:t>
                  </w:r>
                  <w:r w:rsidR="00224E30" w:rsidRP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!!)</w:t>
                  </w:r>
                  <w:r w:rsidRPr="000138ED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)</w:t>
                  </w:r>
                </w:p>
                <w:p w:rsidR="00B416E0" w:rsidRPr="000138ED" w:rsidRDefault="00B416E0" w:rsidP="00B416E0">
                  <w:pPr>
                    <w:spacing w:after="120" w:line="240" w:lineRule="auto"/>
                    <w:rPr>
                      <w:rFonts w:ascii="Comic Sans MS" w:hAnsi="Comic Sans MS"/>
                      <w:i/>
                      <w:noProof/>
                      <w:sz w:val="2"/>
                      <w:szCs w:val="20"/>
                      <w:lang w:val="af-ZA"/>
                    </w:rPr>
                  </w:pPr>
                </w:p>
                <w:p w:rsidR="00B416E0" w:rsidRPr="00E36139" w:rsidRDefault="004F23C5" w:rsidP="00997E70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Justin Chadwick </w:t>
                  </w:r>
                  <w:r w:rsidR="004406C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2 November</w:t>
                  </w:r>
                  <w:r w:rsidR="00B416E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2018</w:t>
                  </w:r>
                  <w:r w:rsidR="00B416E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</w:t>
                  </w:r>
                  <w:r w:rsidR="00B41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46" w:type="dxa"/>
                  <w:gridSpan w:val="3"/>
                  <w:shd w:val="clear" w:color="auto" w:fill="auto"/>
                </w:tcPr>
                <w:p w:rsidR="00B416E0" w:rsidRPr="00064F3C" w:rsidRDefault="00E36139" w:rsidP="00B416E0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0909D1B3" wp14:editId="58BE742D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0</wp:posOffset>
                        </wp:positionV>
                        <wp:extent cx="3886200" cy="933450"/>
                        <wp:effectExtent l="0" t="0" r="0" b="0"/>
                        <wp:wrapThrough wrapText="bothSides">
                          <wp:wrapPolygon edited="0">
                            <wp:start x="2859" y="0"/>
                            <wp:lineTo x="1271" y="1763"/>
                            <wp:lineTo x="0" y="4849"/>
                            <wp:lineTo x="0" y="19396"/>
                            <wp:lineTo x="16306" y="21159"/>
                            <wp:lineTo x="19588" y="21159"/>
                            <wp:lineTo x="21388" y="20718"/>
                            <wp:lineTo x="21388" y="3527"/>
                            <wp:lineTo x="13447" y="441"/>
                            <wp:lineTo x="3494" y="0"/>
                            <wp:lineTo x="2859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32083B" w:rsidTr="00462622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  <w:hideMark/>
                </w:tcPr>
                <w:p w:rsidR="0061356E" w:rsidRPr="003955BE" w:rsidRDefault="0076072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</w:pPr>
                  <w:r w:rsidRPr="003955BE"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  <w:t>“</w:t>
                  </w:r>
                  <w:r w:rsidR="003955BE" w:rsidRPr="003955BE"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  <w:t xml:space="preserve">If Twitter, </w:t>
                  </w:r>
                  <w:proofErr w:type="spellStart"/>
                  <w:r w:rsidR="003955BE" w:rsidRPr="003955BE"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  <w:t>Youtube</w:t>
                  </w:r>
                  <w:proofErr w:type="spellEnd"/>
                  <w:r w:rsidR="003955BE" w:rsidRPr="003955BE"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  <w:t>, and Google were part of my school subjects, my parents would be so proud of me” Anon</w:t>
                  </w:r>
                </w:p>
                <w:p w:rsidR="00887159" w:rsidRPr="00866911" w:rsidRDefault="00887159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auto"/>
                      <w:sz w:val="6"/>
                      <w:szCs w:val="6"/>
                    </w:rPr>
                  </w:pPr>
                </w:p>
                <w:p w:rsidR="00374DFC" w:rsidRPr="00042AFF" w:rsidRDefault="0070669E" w:rsidP="00894C89">
                  <w:pPr>
                    <w:spacing w:after="0"/>
                    <w:ind w:right="262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2018 NA</w:t>
                  </w:r>
                  <w:r w:rsidR="00894C89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W</w:t>
                  </w: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EL</w:t>
                  </w:r>
                  <w:r w:rsidR="0076072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 SE</w:t>
                  </w:r>
                  <w:r w:rsidR="00894C89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ISOEN SE OORSIG</w:t>
                  </w:r>
                  <w:r w:rsidR="0076072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 </w:t>
                  </w:r>
                </w:p>
                <w:p w:rsidR="009F6173" w:rsidRPr="00C04B4C" w:rsidRDefault="00462622" w:rsidP="00C71BA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CE7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3459480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971800" cy="259080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2590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96CE7" w:rsidRPr="00314FA0" w:rsidRDefault="00314FA0" w:rsidP="00314FA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Theme="minorBidi" w:hAnsiTheme="minorBidi" w:cstheme="min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14FA0">
                                          <w:rPr>
                                            <w:rFonts w:asciiTheme="minorBidi" w:hAnsiTheme="minorBidi" w:cstheme="minorBidi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Om die tendens te volg, het nawels ook ‘n rekord uitvoervolume beleef - teen 26,6 miljoen kartonne net </w:t>
                                        </w:r>
                                        <w:r w:rsidRPr="00314FA0"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meer as 2016 (26,2 m). Dit was net 4% meer as  Maart se skatting. Vóór die Nawel Fokusgroep geluk gewens word, is dit nodig om aan te dui dat daar groot veranderinge in die streke was - Senwes is steeds die grootste streek met 8.8 m kartonne - 'n reuse 34% meer as skatting, terwyl Sondagsrivier na die derde grootste streek geskuif het me</w:t>
                                        </w:r>
                                        <w:r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 ‘n 5.1 m karton uitvoervolume</w:t>
                                        </w:r>
                                        <w:r w:rsidRPr="00314FA0"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</w:t>
                                        </w:r>
                                        <w:r w:rsidRPr="00314FA0"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15% minder as skatting. Dit is die Wes-Kaap wat die tweede plek verower het - hul 6.1</w:t>
                                        </w:r>
                                        <w:r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</w:t>
                                        </w:r>
                                        <w:r w:rsidRPr="00314FA0"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m kartonne was amper in die kol met hul skatting</w:t>
                                        </w:r>
                                        <w:r w:rsidRPr="00314FA0">
                                          <w:rPr>
                                            <w:rFonts w:asciiTheme="minorBidi" w:hAnsiTheme="minorBidi" w:cstheme="minorBidi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. Patensie was 11% minder as skatting (3 m teen 3,4 m), terwyl Nelspruit  3% minder as skatting was (1.6m teen 1,7 miljoen).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72.4pt;margin-top:6.7pt;width:234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4QHw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" stroked="f">
                            <v:textbox>
                              <w:txbxContent>
                                <w:p w:rsidR="00296CE7" w:rsidRPr="00314FA0" w:rsidRDefault="00314FA0" w:rsidP="00314F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314FA0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Om die tendens te volg, het nawels ook ‘n rekord uitvoervolume beleef - teen 26,6 miljoen kartonne net </w:t>
                                  </w:r>
                                  <w:r w:rsidRPr="00314FA0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af-ZA"/>
                                    </w:rPr>
                                    <w:t>meer as 2016 (26,2 m). Dit was net 4% meer as  Maart se skatting. Vóór die Nawel Fokusgroep geluk gewens word, is dit nodig om aan te dui dat daar groot veranderinge in die streke was - Senwes is steeds die grootste streek met 8.8 m kartonne - 'n reuse 34% meer as skatting, terwyl Sondagsrivier na die derde grootste streek geskuif het me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af-ZA"/>
                                    </w:rPr>
                                    <w:t>t ‘n 5.1 m karton uitvoervolume</w:t>
                                  </w:r>
                                  <w:r w:rsidRPr="00314FA0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af-Z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</w:t>
                                  </w:r>
                                  <w:r w:rsidRPr="00314FA0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af-ZA"/>
                                    </w:rPr>
                                    <w:t>15% minder as skatting. Dit is die Wes-Kaap wat die tweede plek verower het - hul 6.1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</w:t>
                                  </w:r>
                                  <w:r w:rsidRPr="00314FA0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af-ZA"/>
                                    </w:rPr>
                                    <w:t>m kartonne was amper in die kol met hul skatting</w:t>
                                  </w:r>
                                  <w:r w:rsidRPr="00314FA0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  <w:lang w:val="af-ZA"/>
                                    </w:rPr>
                                    <w:t>. Patensie was 11% minder as skatting (3 m teen 3,4 m), terwyl Nelspruit  3% minder as skatting was (1.6m teen 1,7 miljoen).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2D98443" wp14:editId="76363356">
                        <wp:extent cx="3268980" cy="2689860"/>
                        <wp:effectExtent l="0" t="0" r="7620" b="15240"/>
                        <wp:docPr id="6" name="Chart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r w:rsidR="00296CE7">
                    <w:rPr>
                      <w:rFonts w:ascii="Arial" w:hAnsi="Arial" w:cs="Arial"/>
                    </w:rPr>
                    <w:t xml:space="preserve"> </w:t>
                  </w:r>
                </w:p>
                <w:p w:rsidR="00314FA0" w:rsidRDefault="00314FA0" w:rsidP="00314FA0">
                  <w:pPr>
                    <w:spacing w:after="0" w:line="240" w:lineRule="auto"/>
                    <w:jc w:val="both"/>
                    <w:rPr>
                      <w:rFonts w:asciiTheme="minorBidi" w:hAnsiTheme="minorBidi" w:cstheme="minorBidi"/>
                      <w:sz w:val="20"/>
                      <w:szCs w:val="20"/>
                      <w:lang w:val="af-ZA"/>
                    </w:rPr>
                  </w:pPr>
                  <w:r w:rsidRPr="00314FA0">
                    <w:rPr>
                      <w:rFonts w:asciiTheme="minorBidi" w:hAnsiTheme="minorBidi" w:cstheme="minorBidi"/>
                      <w:sz w:val="20"/>
                      <w:szCs w:val="20"/>
                      <w:lang w:val="af-ZA"/>
                    </w:rPr>
                    <w:t xml:space="preserve">In terme van streeksverspreiding, ‘n afname in Europa (vanaf 30% in 2017 tot 26% in 2018) is deur die Midde-Ooste opgeneem (23% tot 26%). Verspreiding na ander dele het nie wesenlik van 2017 </w:t>
                  </w:r>
                  <w:r>
                    <w:rPr>
                      <w:rFonts w:asciiTheme="minorBidi" w:hAnsiTheme="minorBidi" w:cstheme="minorBidi"/>
                      <w:sz w:val="20"/>
                      <w:szCs w:val="20"/>
                      <w:lang w:val="af-ZA"/>
                    </w:rPr>
                    <w:t xml:space="preserve">verskil </w:t>
                  </w:r>
                  <w:r w:rsidRPr="00314FA0">
                    <w:rPr>
                      <w:rFonts w:asciiTheme="minorBidi" w:hAnsiTheme="minorBidi" w:cstheme="minorBidi"/>
                      <w:sz w:val="20"/>
                      <w:szCs w:val="20"/>
                      <w:lang w:val="af-ZA"/>
                    </w:rPr>
                    <w:t>nie - Suidoos-Asië 18%, Noord-Amerika 15%, Rusland en die VK beide 5% en Asië 3%.  Net soos met pomelo's en suurlemoene, het Nederland die nommer een invoerder gebly met 4,2 miljoen kartonne. Hulle is deur Saoedi-Arabië (2,9 m), UAE (2,5 m) en VSA (2,4 m) gevolg.  Van nêrens het China ‘n verskyning op nommer  5 gemaak - styg van 0,8 m kartonne in 2017  tot 2 miljoen kartonne in 2018.</w:t>
                  </w:r>
                </w:p>
                <w:p w:rsidR="00397B29" w:rsidRPr="00397B29" w:rsidRDefault="00F40F01" w:rsidP="00314FA0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S</w:t>
                  </w:r>
                  <w:r w:rsidR="00314FA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UIDER-AFRIKA SE SITRUSUITVOERE BEREIK </w:t>
                  </w:r>
                  <w:r w:rsidR="00397B29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2 MIL</w:t>
                  </w:r>
                  <w:r w:rsidR="00314FA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JOEN TON</w:t>
                  </w:r>
                </w:p>
                <w:p w:rsidR="00F40F01" w:rsidRPr="00397B29" w:rsidRDefault="008C5E7D" w:rsidP="00042AFF">
                  <w:pPr>
                    <w:spacing w:after="0"/>
                    <w:rPr>
                      <w:rFonts w:ascii="Arial" w:eastAsia="Times New Roman" w:hAnsi="Arial" w:cs="Arial"/>
                      <w:color w:val="0070C0"/>
                      <w:lang w:val="en-US"/>
                    </w:rPr>
                  </w:pPr>
                  <w:r w:rsidRPr="008C5E7D">
                    <w:rPr>
                      <w:rFonts w:ascii="Arial" w:eastAsia="Times New Roman" w:hAnsi="Arial" w:cs="Arial"/>
                      <w:noProof/>
                      <w:color w:val="0070C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3070860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406140" cy="1577340"/>
                            <wp:effectExtent l="0" t="0" r="3810" b="3810"/>
                            <wp:wrapSquare wrapText="bothSides"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06140" cy="1577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C5E7D" w:rsidRPr="00314FA0" w:rsidRDefault="00314FA0" w:rsidP="00314FA0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Ek kan soos gister onthou toe die sitrusbedryf 1 miljoen kartonne bereik het - ek was ‘n lid van 'n paneel by die Southern Hemisphere Fruit Conference en Chris White het my gevra of dit ‘n rede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is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om te vier of nie. Die antwoord was beide –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‘n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rede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om te vier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en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te bekommer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; ‘n groeiende bedryf was ‘n goeie ding vanaf ‘n produksie oogpunt, </w:t>
                                        </w:r>
                                        <w:r w:rsidRPr="00314FA0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maar as ons faal om mark-aanvraag teen dieselfde pas te groei, sal probleme opduik.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241.8pt;margin-top:2.6pt;width:268.2pt;height:1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" stroked="f">
                            <v:textbox>
                              <w:txbxContent>
                                <w:p w:rsidR="008C5E7D" w:rsidRPr="00314FA0" w:rsidRDefault="00314FA0" w:rsidP="00314F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Ek kan soos gister onthou toe die sitrusbedryf 1 miljoen kartonne bereik het - ek was ‘n lid van 'n paneel by die Southern Hemisphere Fruit Conference en Chris White het my gevra of dit ‘n rede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om te vier of nie. Die antwoord was beide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‘n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rede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om te vier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>te bekommer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; ‘n groeiende bedryf was ‘n goeie ding vanaf ‘n produksie oogpunt, </w:t>
                                  </w:r>
                                  <w:r w:rsidRPr="00314FA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val="af-ZA"/>
                                    </w:rPr>
                                    <w:t>maar as ons faal om mark-aanvraag teen dieselfde pas te groei, sal probleme opduik.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397B29" w:rsidRPr="00397B29">
                    <w:rPr>
                      <w:rFonts w:ascii="Arial" w:eastAsia="Times New Roman" w:hAnsi="Arial" w:cs="Arial"/>
                      <w:noProof/>
                      <w:color w:val="0070C0"/>
                      <w:lang w:val="en-US"/>
                    </w:rPr>
                    <w:drawing>
                      <wp:inline distT="0" distB="0" distL="0" distR="0" wp14:anchorId="68F963BB">
                        <wp:extent cx="2917901" cy="166116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780" cy="16639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40F01" w:rsidRPr="00397B29">
                    <w:rPr>
                      <w:rFonts w:ascii="Arial" w:eastAsia="Times New Roman" w:hAnsi="Arial" w:cs="Arial"/>
                      <w:color w:val="0070C0"/>
                      <w:lang w:val="en-US"/>
                    </w:rPr>
                    <w:t xml:space="preserve"> </w:t>
                  </w:r>
                </w:p>
                <w:p w:rsidR="00314FA0" w:rsidRDefault="00314FA0" w:rsidP="002C6742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af-ZA"/>
                    </w:rPr>
                    <w:t>Die bedryf het nou 2 miljoen ton bereik, en dieselfde gevoelens is nog daar. Die pas van groei is besig om te versnel; waar dit die eerste 60 jaar geneem het om 500 000 ton te bereik, het die volgende stap na 1 miljoen ton 31 jaar geneem en van 1 tot 1,5 was dit 12 jaar; die laaste toename van 500 000 ton het net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  <w:lang w:val="af-ZA"/>
                    </w:rPr>
                    <w:t xml:space="preserve"> 6 jaar geneem (en voorspellings toon dat die volgende 500 000 ton 3 jaar sal neem).</w:t>
                  </w:r>
                </w:p>
                <w:p w:rsidR="00124089" w:rsidRPr="00124089" w:rsidRDefault="00314FA0" w:rsidP="00124089">
                  <w:pPr>
                    <w:spacing w:after="0" w:line="240" w:lineRule="auto"/>
                    <w:jc w:val="both"/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2E74B5" w:themeColor="accent1" w:themeShade="BF"/>
                      <w:sz w:val="20"/>
                      <w:szCs w:val="20"/>
                      <w:u w:val="single"/>
                      <w:lang w:val="af-ZA"/>
                    </w:rPr>
                  </w:pPr>
                  <w:r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2E74B5" w:themeColor="accent1" w:themeShade="BF"/>
                      <w:sz w:val="20"/>
                      <w:szCs w:val="20"/>
                      <w:u w:val="single"/>
                      <w:lang w:val="af-ZA"/>
                    </w:rPr>
                    <w:t>SITRUS KORT</w:t>
                  </w:r>
                  <w:r w:rsidR="00124089" w:rsidRPr="00124089">
                    <w:rPr>
                      <w:rFonts w:asciiTheme="minorBidi" w:eastAsiaTheme="minorHAnsi" w:hAnsiTheme="minorBidi" w:cstheme="minorBidi"/>
                      <w:b/>
                      <w:bCs/>
                      <w:noProof/>
                      <w:color w:val="2E74B5" w:themeColor="accent1" w:themeShade="BF"/>
                      <w:sz w:val="20"/>
                      <w:szCs w:val="20"/>
                      <w:u w:val="single"/>
                      <w:lang w:val="af-ZA"/>
                    </w:rPr>
                    <w:t>KURSUS</w:t>
                  </w:r>
                </w:p>
                <w:p w:rsidR="001C164E" w:rsidRPr="008C5E7D" w:rsidRDefault="00124089" w:rsidP="00314FA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089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>Die Citrus Academy het nog 'n</w:t>
                  </w:r>
                  <w:r w:rsidR="00894C89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 xml:space="preserve"> Sitrus Kortk</w:t>
                  </w:r>
                  <w:r w:rsidRPr="00124089">
                    <w:rPr>
                      <w:rFonts w:asciiTheme="minorBidi" w:eastAsiaTheme="minorHAnsi" w:hAnsiTheme="minorBidi" w:cstheme="minorBidi"/>
                      <w:noProof/>
                      <w:sz w:val="20"/>
                      <w:szCs w:val="20"/>
                      <w:lang w:val="af-ZA"/>
                    </w:rPr>
                    <w:t xml:space="preserve">ursus werkswinkel ingesluit, wat op 25-26 Februarie 2019 by die Hoedspruit-hub gaan plaasvind. Besoek gerus die webwerf van die Citrus Academy om te registreer en vir meer inligting: </w:t>
                  </w:r>
                  <w:hyperlink r:id="rId9" w:history="1">
                    <w:r w:rsidRPr="00124089">
                      <w:rPr>
                        <w:rStyle w:val="Hyperlink"/>
                        <w:rFonts w:asciiTheme="minorBidi" w:hAnsiTheme="minorBidi" w:cstheme="minorBidi"/>
                        <w:noProof/>
                        <w:sz w:val="20"/>
                        <w:szCs w:val="20"/>
                        <w:lang w:val="af-ZA"/>
                      </w:rPr>
                      <w:t>www.citrusacademy.org.za</w:t>
                    </w:r>
                  </w:hyperlink>
                  <w:r w:rsidR="00314FA0">
                    <w:rPr>
                      <w:rStyle w:val="Hyperlink"/>
                      <w:rFonts w:asciiTheme="minorBidi" w:hAnsiTheme="minorBidi" w:cstheme="minorBidi"/>
                      <w:noProof/>
                      <w:sz w:val="20"/>
                      <w:szCs w:val="20"/>
                      <w:lang w:val="af-ZA"/>
                    </w:rPr>
                    <w:t>.</w:t>
                  </w:r>
                </w:p>
              </w:tc>
            </w:tr>
            <w:tr w:rsidR="0098607D" w:rsidRPr="0032083B" w:rsidTr="00F80EB8">
              <w:trPr>
                <w:gridAfter w:val="1"/>
                <w:wAfter w:w="150" w:type="dxa"/>
                <w:trHeight w:val="35"/>
                <w:tblCellSpacing w:w="0" w:type="dxa"/>
              </w:trPr>
              <w:tc>
                <w:tcPr>
                  <w:tcW w:w="10632" w:type="dxa"/>
                  <w:gridSpan w:val="3"/>
                  <w:vAlign w:val="center"/>
                </w:tcPr>
                <w:p w:rsidR="0027430A" w:rsidRPr="00660466" w:rsidRDefault="00124089" w:rsidP="00124089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sz w:val="22"/>
                      <w:szCs w:val="22"/>
                      <w:u w:val="single"/>
                      <w:lang w:val="en-US"/>
                    </w:rPr>
                    <w:t>GEPAK EN VERSKEEP</w:t>
                  </w:r>
                </w:p>
              </w:tc>
            </w:tr>
          </w:tbl>
          <w:tbl>
            <w:tblPr>
              <w:tblpPr w:leftFromText="180" w:rightFromText="180" w:vertAnchor="text" w:horzAnchor="margin" w:tblpY="104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028"/>
              <w:gridCol w:w="900"/>
              <w:gridCol w:w="990"/>
              <w:gridCol w:w="990"/>
              <w:gridCol w:w="1080"/>
              <w:gridCol w:w="1206"/>
              <w:gridCol w:w="1224"/>
              <w:gridCol w:w="1069"/>
            </w:tblGrid>
            <w:tr w:rsidR="00515504" w:rsidRPr="00124089" w:rsidTr="00124089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124089" w:rsidRDefault="001F5769" w:rsidP="0051550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eastAsia="Times New Roman" w:hAnsi="Arial" w:cs="Arial"/>
                      <w:b/>
                      <w:noProof/>
                      <w:color w:val="0070C0"/>
                      <w:sz w:val="2"/>
                      <w:szCs w:val="2"/>
                      <w:u w:val="single"/>
                      <w:lang w:val="af-ZA"/>
                    </w:rPr>
                    <w:t xml:space="preserve"> </w:t>
                  </w:r>
                  <w:r w:rsidR="003561E6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To</w:t>
                  </w:r>
                  <w:r w:rsid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</w:t>
                  </w:r>
                  <w:r w:rsidR="003561E6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Week 43</w:t>
                  </w:r>
                </w:p>
                <w:p w:rsidR="00515504" w:rsidRPr="00124089" w:rsidRDefault="00515504" w:rsidP="0012408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  <w:r w:rsid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iljoen </w:t>
                  </w: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5 Kg </w:t>
                  </w:r>
                  <w:r w:rsid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Kartonne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08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Aanvanklike Skatting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Nuutste Voorspelling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515504" w:rsidRPr="00124089" w:rsidRDefault="00515504" w:rsidP="0012408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Fina</w:t>
                  </w:r>
                  <w:r w:rsid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l </w:t>
                  </w:r>
                  <w:r w:rsid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15504" w:rsidRPr="00124089" w:rsidTr="00124089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  <w:t>BRON</w:t>
                  </w:r>
                  <w:r w:rsidR="00515504" w:rsidRPr="00124089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af-ZA"/>
                    </w:rPr>
                    <w:t>: PPECB/Agrihub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</w:tr>
            <w:tr w:rsidR="00515504" w:rsidRPr="00124089" w:rsidTr="00124089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Pomelo’s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13.8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1A4B3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18.7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5F502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15.4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873118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18.1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16.8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18.7 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 m</w:t>
                  </w:r>
                </w:p>
              </w:tc>
            </w:tr>
            <w:tr w:rsidR="00515504" w:rsidRPr="00124089" w:rsidTr="00124089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124089" w:rsidRDefault="00515504" w:rsidP="0012408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  <w:r w:rsid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agte Sitrus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12.2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16.1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C65FD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15.8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14.7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</w:t>
                  </w:r>
                  <w:r w:rsidR="006F54B0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.2</w:t>
                  </w: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</w:tr>
            <w:tr w:rsidR="00515504" w:rsidRPr="00124089" w:rsidTr="00124089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Suurlemoene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19.8</w:t>
                  </w:r>
                  <w:r w:rsidR="005F502A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18.8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45197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19.3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20.6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19.9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 m</w:t>
                  </w:r>
                </w:p>
              </w:tc>
            </w:tr>
            <w:tr w:rsidR="00515504" w:rsidRPr="00124089" w:rsidTr="00124089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124089" w:rsidRDefault="00124089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Naw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els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26.2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26.6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5F502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21.2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26.3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25.7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26.6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 m</w:t>
                  </w:r>
                </w:p>
              </w:tc>
            </w:tr>
            <w:tr w:rsidR="00515504" w:rsidRPr="00124089" w:rsidTr="00124089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Valencia</w:t>
                  </w:r>
                  <w:r w:rsid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42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2755FB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53.8</w:t>
                  </w:r>
                  <w:r w:rsidR="005F502A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Pr="00124089" w:rsidRDefault="00441D6B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53.9</w:t>
                  </w:r>
                  <w:r w:rsidR="005F502A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2755FB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50.9</w:t>
                  </w:r>
                  <w:r w:rsidR="00451977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Pr="00124089" w:rsidRDefault="00314FA0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51.8 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53.9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54.1</w:t>
                  </w:r>
                  <w:r w:rsidR="00515504"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53.8 m</w:t>
                  </w:r>
                </w:p>
              </w:tc>
            </w:tr>
            <w:tr w:rsidR="00515504" w:rsidRPr="00124089" w:rsidTr="00124089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Tot</w:t>
                  </w:r>
                  <w:r w:rsid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al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109.2 m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2755FB" w:rsidP="006333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123</w:t>
                  </w:r>
                  <w:r w:rsidR="00515504"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135</w:t>
                  </w:r>
                  <w:r w:rsidR="00441D6B"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.1</w:t>
                  </w: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2755FB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119.3</w:t>
                  </w:r>
                  <w:r w:rsidR="00451977"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2755FB" w:rsidP="00314F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</w:t>
                  </w:r>
                  <w:r w:rsidR="00314FA0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31.3 </w:t>
                  </w:r>
                  <w:r w:rsidR="00451977"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131.7 m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584A11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135.5</w:t>
                  </w:r>
                  <w:r w:rsidR="00B56556"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124089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124089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123 m</w:t>
                  </w:r>
                </w:p>
              </w:tc>
            </w:tr>
          </w:tbl>
          <w:p w:rsidR="00EE3882" w:rsidRPr="0060342B" w:rsidRDefault="00EE3882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  <w:p w:rsidR="009105C5" w:rsidRPr="0060342B" w:rsidRDefault="009105C5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</w:tc>
      </w:tr>
    </w:tbl>
    <w:p w:rsidR="00894C89" w:rsidRPr="003363E1" w:rsidRDefault="00894C89" w:rsidP="00894C89">
      <w:pPr>
        <w:spacing w:after="0" w:line="240" w:lineRule="auto"/>
        <w:ind w:right="-330"/>
        <w:jc w:val="both"/>
        <w:rPr>
          <w:rFonts w:ascii="Arial" w:hAnsi="Arial" w:cs="Arial"/>
          <w:b/>
          <w:color w:val="31849B"/>
          <w:sz w:val="17"/>
          <w:szCs w:val="17"/>
        </w:rPr>
      </w:pPr>
      <w:r w:rsidRPr="001D6B45">
        <w:rPr>
          <w:rFonts w:ascii="Berlin Sans FB Demi" w:hAnsi="Berlin Sans FB Demi" w:cs="Arial"/>
          <w:color w:val="FF0000"/>
          <w:sz w:val="16"/>
          <w:szCs w:val="16"/>
        </w:rPr>
        <w:t>DIE CGA GROEP VAN MAATSKAPPYE (CRI, RIVER BIOSCIENCE, XSIT, CGA CULTIVAR COMPANY, CGA GROWER DEVELOPMENT COMPANY &amp; CITRUS ACADEMY) WORD DEUR SUIDER-AFRIKA SE SITRUSPRODUSENTE BEFONDS</w:t>
      </w:r>
    </w:p>
    <w:p w:rsidR="00F553C7" w:rsidRPr="003363E1" w:rsidRDefault="00F553C7" w:rsidP="00124089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5.2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0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784"/>
    <w:rsid w:val="00007906"/>
    <w:rsid w:val="0001281C"/>
    <w:rsid w:val="00012E64"/>
    <w:rsid w:val="000135BF"/>
    <w:rsid w:val="00013635"/>
    <w:rsid w:val="000138ED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31E"/>
    <w:rsid w:val="00036D82"/>
    <w:rsid w:val="00036E52"/>
    <w:rsid w:val="00037463"/>
    <w:rsid w:val="000403DC"/>
    <w:rsid w:val="00040D58"/>
    <w:rsid w:val="000426D8"/>
    <w:rsid w:val="00042AFF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262B"/>
    <w:rsid w:val="000E423D"/>
    <w:rsid w:val="000E4EE3"/>
    <w:rsid w:val="000E5043"/>
    <w:rsid w:val="000E52AC"/>
    <w:rsid w:val="000E60C4"/>
    <w:rsid w:val="000E63B6"/>
    <w:rsid w:val="000E7341"/>
    <w:rsid w:val="000F0746"/>
    <w:rsid w:val="000F0AA3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089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182D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3576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6CE7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742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4FA0"/>
    <w:rsid w:val="00316530"/>
    <w:rsid w:val="00316F9D"/>
    <w:rsid w:val="003203E6"/>
    <w:rsid w:val="0032083B"/>
    <w:rsid w:val="00321104"/>
    <w:rsid w:val="0032174F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4DFC"/>
    <w:rsid w:val="00375621"/>
    <w:rsid w:val="00376E63"/>
    <w:rsid w:val="00377D11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A70FF"/>
    <w:rsid w:val="003B0339"/>
    <w:rsid w:val="003B0813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977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4C33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267"/>
    <w:rsid w:val="0056144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D3F"/>
    <w:rsid w:val="005852C9"/>
    <w:rsid w:val="00585E28"/>
    <w:rsid w:val="00586D24"/>
    <w:rsid w:val="005870C8"/>
    <w:rsid w:val="00587240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33C"/>
    <w:rsid w:val="00633577"/>
    <w:rsid w:val="0063397C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51F9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700AFB"/>
    <w:rsid w:val="00702AD1"/>
    <w:rsid w:val="007035E9"/>
    <w:rsid w:val="007041A9"/>
    <w:rsid w:val="00705A1D"/>
    <w:rsid w:val="0070669E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7159"/>
    <w:rsid w:val="0088770B"/>
    <w:rsid w:val="0089004C"/>
    <w:rsid w:val="008927A7"/>
    <w:rsid w:val="00893DC0"/>
    <w:rsid w:val="008947AC"/>
    <w:rsid w:val="00894C89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585B"/>
    <w:rsid w:val="008E759C"/>
    <w:rsid w:val="008E7F06"/>
    <w:rsid w:val="008F0A61"/>
    <w:rsid w:val="008F0B46"/>
    <w:rsid w:val="008F1745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173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18B2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731"/>
    <w:rsid w:val="00B776B8"/>
    <w:rsid w:val="00B778E8"/>
    <w:rsid w:val="00B779C6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282B"/>
    <w:rsid w:val="00C83D05"/>
    <w:rsid w:val="00C83ECF"/>
    <w:rsid w:val="00C8497C"/>
    <w:rsid w:val="00C86B08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2339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B02"/>
    <w:rsid w:val="00DA5F6F"/>
    <w:rsid w:val="00DA6104"/>
    <w:rsid w:val="00DA6725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180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F55"/>
    <w:rsid w:val="00E64FC2"/>
    <w:rsid w:val="00E65260"/>
    <w:rsid w:val="00E657C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420E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3882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0EB8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rusacademy.org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8\Communication\Newsletter\GF%20and%20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Southern African Navel Exports</a:t>
            </a:r>
          </a:p>
          <a:p>
            <a:pPr>
              <a:defRPr/>
            </a:pPr>
            <a:r>
              <a:rPr lang="en-US"/>
              <a:t>15 Kg Cartons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Sheet1!$C$27</c:f>
              <c:strCache>
                <c:ptCount val="1"/>
                <c:pt idx="0">
                  <c:v>Cartons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pattFill prst="wdDnDiag">
                <a:fgClr>
                  <a:srgbClr val="00B05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84-4FAE-8538-8266C680CB20}"/>
              </c:ext>
            </c:extLst>
          </c:dPt>
          <c:dPt>
            <c:idx val="9"/>
            <c:invertIfNegative val="0"/>
            <c:bubble3D val="0"/>
            <c:spPr>
              <a:pattFill prst="dkUpDiag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84-4FAE-8538-8266C680CB20}"/>
              </c:ext>
            </c:extLst>
          </c:dPt>
          <c:cat>
            <c:numRef>
              <c:f>Sheet1!$B$28:$B$37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Sheet1!$C$28:$C$37</c:f>
              <c:numCache>
                <c:formatCode>General</c:formatCode>
                <c:ptCount val="10"/>
                <c:pt idx="0">
                  <c:v>19.399999999999999</c:v>
                </c:pt>
                <c:pt idx="1">
                  <c:v>22.9</c:v>
                </c:pt>
                <c:pt idx="2">
                  <c:v>21.2</c:v>
                </c:pt>
                <c:pt idx="3">
                  <c:v>24.6</c:v>
                </c:pt>
                <c:pt idx="4">
                  <c:v>25.4</c:v>
                </c:pt>
                <c:pt idx="5">
                  <c:v>25.9</c:v>
                </c:pt>
                <c:pt idx="6">
                  <c:v>24.5</c:v>
                </c:pt>
                <c:pt idx="7">
                  <c:v>26.2</c:v>
                </c:pt>
                <c:pt idx="8">
                  <c:v>21.1</c:v>
                </c:pt>
                <c:pt idx="9">
                  <c:v>26.6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84-4FAE-8538-8266C680C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267448"/>
        <c:axId val="411267840"/>
      </c:barChart>
      <c:catAx>
        <c:axId val="41126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267840"/>
        <c:crosses val="autoZero"/>
        <c:auto val="1"/>
        <c:lblAlgn val="ctr"/>
        <c:lblOffset val="100"/>
        <c:noMultiLvlLbl val="0"/>
      </c:catAx>
      <c:valAx>
        <c:axId val="411267840"/>
        <c:scaling>
          <c:orientation val="minMax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Million 15 Kg cartons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26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09F7-51E0-4EBD-B00E-8EE5EB5D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Elma</cp:lastModifiedBy>
  <cp:revision>2</cp:revision>
  <cp:lastPrinted>2018-10-19T08:16:00Z</cp:lastPrinted>
  <dcterms:created xsi:type="dcterms:W3CDTF">2018-11-05T08:39:00Z</dcterms:created>
  <dcterms:modified xsi:type="dcterms:W3CDTF">2018-11-05T08:39:00Z</dcterms:modified>
</cp:coreProperties>
</file>