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4A64B35A" w:rsidR="005859D8" w:rsidRPr="00810F8B" w:rsidRDefault="005859D8" w:rsidP="00810F8B">
      <w:pPr>
        <w:spacing w:after="0" w:line="240" w:lineRule="auto"/>
        <w:ind w:right="113"/>
        <w:rPr>
          <w:rFonts w:asciiTheme="minorHAnsi" w:hAnsiTheme="minorHAnsi" w:cstheme="minorHAnsi"/>
          <w:b/>
          <w:i/>
          <w:sz w:val="24"/>
          <w:szCs w:val="24"/>
          <w:lang w:val="af-ZA"/>
        </w:rPr>
      </w:pPr>
      <w:bookmarkStart w:id="0" w:name="_GoBack"/>
      <w:bookmarkEnd w:id="0"/>
      <w:r w:rsidRPr="00810F8B">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F8B">
        <w:rPr>
          <w:rFonts w:asciiTheme="minorHAnsi" w:hAnsiTheme="minorHAnsi" w:cstheme="minorHAnsi"/>
          <w:b/>
          <w:i/>
          <w:sz w:val="24"/>
          <w:szCs w:val="24"/>
          <w:lang w:val="af-ZA"/>
        </w:rPr>
        <w:t xml:space="preserve">UIT DIE PEN VAN DIE </w:t>
      </w:r>
      <w:r w:rsidRPr="00810F8B">
        <w:rPr>
          <w:rFonts w:asciiTheme="minorHAnsi" w:hAnsiTheme="minorHAnsi" w:cstheme="minorHAnsi"/>
          <w:b/>
          <w:i/>
          <w:sz w:val="24"/>
          <w:szCs w:val="24"/>
          <w:lang w:val="af-ZA"/>
        </w:rPr>
        <w:t>CEO (</w:t>
      </w:r>
      <w:r w:rsidR="00BC7323" w:rsidRPr="00810F8B">
        <w:rPr>
          <w:rFonts w:asciiTheme="minorHAnsi" w:hAnsiTheme="minorHAnsi" w:cstheme="minorHAnsi"/>
          <w:b/>
          <w:i/>
          <w:sz w:val="24"/>
          <w:szCs w:val="24"/>
          <w:lang w:val="af-ZA"/>
        </w:rPr>
        <w:t>12</w:t>
      </w:r>
      <w:r w:rsidR="00AD79A4" w:rsidRPr="00810F8B">
        <w:rPr>
          <w:rFonts w:asciiTheme="minorHAnsi" w:hAnsiTheme="minorHAnsi" w:cstheme="minorHAnsi"/>
          <w:b/>
          <w:i/>
          <w:sz w:val="24"/>
          <w:szCs w:val="24"/>
          <w:lang w:val="af-ZA"/>
        </w:rPr>
        <w:t>/21</w:t>
      </w:r>
      <w:r w:rsidRPr="00810F8B">
        <w:rPr>
          <w:rFonts w:asciiTheme="minorHAnsi" w:hAnsiTheme="minorHAnsi" w:cstheme="minorHAnsi"/>
          <w:b/>
          <w:i/>
          <w:sz w:val="24"/>
          <w:szCs w:val="24"/>
          <w:lang w:val="af-ZA"/>
        </w:rPr>
        <w:t>)</w:t>
      </w:r>
      <w:r w:rsidRPr="00810F8B">
        <w:rPr>
          <w:rFonts w:asciiTheme="minorHAnsi" w:hAnsiTheme="minorHAnsi" w:cstheme="minorHAnsi"/>
          <w:noProof/>
          <w:sz w:val="24"/>
          <w:szCs w:val="24"/>
          <w:lang w:val="af-ZA" w:eastAsia="en-ZA"/>
        </w:rPr>
        <w:t xml:space="preserve"> </w:t>
      </w:r>
    </w:p>
    <w:p w14:paraId="612E86BD" w14:textId="2801FD2E" w:rsidR="005859D8" w:rsidRPr="00810F8B" w:rsidRDefault="005859D8" w:rsidP="00810F8B">
      <w:pPr>
        <w:spacing w:after="0" w:line="240" w:lineRule="auto"/>
        <w:ind w:right="113"/>
        <w:rPr>
          <w:rFonts w:asciiTheme="minorHAnsi" w:hAnsiTheme="minorHAnsi" w:cstheme="minorHAnsi"/>
          <w:b/>
          <w:color w:val="FF0000"/>
          <w:sz w:val="24"/>
          <w:szCs w:val="24"/>
          <w:lang w:val="af-ZA"/>
        </w:rPr>
      </w:pPr>
      <w:r w:rsidRPr="00810F8B">
        <w:rPr>
          <w:rFonts w:asciiTheme="minorHAnsi" w:hAnsiTheme="minorHAnsi" w:cstheme="minorHAnsi"/>
          <w:b/>
          <w:color w:val="FF0000"/>
          <w:sz w:val="24"/>
          <w:szCs w:val="24"/>
          <w:lang w:val="af-ZA"/>
        </w:rPr>
        <w:t>(</w:t>
      </w:r>
      <w:r w:rsidR="00810F8B">
        <w:rPr>
          <w:rFonts w:asciiTheme="minorHAnsi" w:hAnsiTheme="minorHAnsi" w:cstheme="minorHAnsi"/>
          <w:b/>
          <w:color w:val="FF0000"/>
          <w:sz w:val="24"/>
          <w:szCs w:val="24"/>
          <w:lang w:val="af-ZA"/>
        </w:rPr>
        <w:t>Volg my op T</w:t>
      </w:r>
      <w:r w:rsidRPr="00810F8B">
        <w:rPr>
          <w:rFonts w:asciiTheme="minorHAnsi" w:hAnsiTheme="minorHAnsi" w:cstheme="minorHAnsi"/>
          <w:b/>
          <w:color w:val="FF0000"/>
          <w:sz w:val="24"/>
          <w:szCs w:val="24"/>
          <w:lang w:val="af-ZA"/>
        </w:rPr>
        <w:t>witter justchad_cga)</w:t>
      </w:r>
    </w:p>
    <w:p w14:paraId="50F3E523" w14:textId="38437337" w:rsidR="00361403" w:rsidRPr="00810F8B" w:rsidRDefault="00F432FE" w:rsidP="00A751D8">
      <w:pPr>
        <w:rPr>
          <w:rFonts w:asciiTheme="minorHAnsi" w:hAnsiTheme="minorHAnsi" w:cstheme="minorHAnsi"/>
          <w:i/>
          <w:sz w:val="24"/>
          <w:szCs w:val="24"/>
          <w:lang w:val="af-ZA"/>
        </w:rPr>
      </w:pPr>
      <w:r w:rsidRPr="00810F8B">
        <w:rPr>
          <w:rFonts w:asciiTheme="minorHAnsi" w:hAnsiTheme="minorHAnsi" w:cstheme="minorHAnsi"/>
          <w:i/>
          <w:sz w:val="24"/>
          <w:szCs w:val="24"/>
          <w:lang w:val="af-ZA"/>
        </w:rPr>
        <w:t>Justin Chadwick 2 April</w:t>
      </w:r>
      <w:r w:rsidR="00AD79A4" w:rsidRPr="00810F8B">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62A784C7" w:rsidR="00836320" w:rsidRPr="008654A3" w:rsidRDefault="004510C4"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t>
            </w:r>
            <w:r w:rsidR="00F432FE">
              <w:rPr>
                <w:rFonts w:asciiTheme="minorHAnsi" w:hAnsiTheme="minorHAnsi" w:cstheme="minorHAnsi"/>
                <w:b/>
                <w:i/>
                <w:sz w:val="24"/>
                <w:szCs w:val="24"/>
                <w:lang w:val="en-US"/>
              </w:rPr>
              <w:t>Only the mediocre are always at their best” Jean Giraudoux</w:t>
            </w:r>
          </w:p>
        </w:tc>
      </w:tr>
    </w:tbl>
    <w:p w14:paraId="07F5B4FA" w14:textId="77777777" w:rsidR="00810F8B" w:rsidRPr="00810F8B" w:rsidRDefault="00810F8B" w:rsidP="00810F8B">
      <w:pPr>
        <w:spacing w:after="0" w:line="240" w:lineRule="auto"/>
        <w:jc w:val="both"/>
        <w:rPr>
          <w:b/>
          <w:bCs/>
          <w:noProof/>
          <w:color w:val="7030A0"/>
          <w:u w:val="single"/>
          <w:lang w:val="af-ZA"/>
        </w:rPr>
      </w:pPr>
      <w:r w:rsidRPr="00810F8B">
        <w:rPr>
          <w:b/>
          <w:bCs/>
          <w:noProof/>
          <w:color w:val="7030A0"/>
          <w:u w:val="single"/>
          <w:lang w:val="af-ZA"/>
        </w:rPr>
        <w:t>FILIPPYNE</w:t>
      </w:r>
    </w:p>
    <w:p w14:paraId="782C969C" w14:textId="73F1299D" w:rsidR="00810F8B" w:rsidRPr="00810F8B" w:rsidRDefault="00810F8B" w:rsidP="00A6574F">
      <w:pPr>
        <w:spacing w:after="0" w:line="240" w:lineRule="auto"/>
        <w:jc w:val="both"/>
        <w:rPr>
          <w:noProof/>
          <w:lang w:val="af-ZA"/>
        </w:rPr>
      </w:pPr>
      <w:r w:rsidRPr="00810F8B">
        <w:rPr>
          <w:noProof/>
          <w:lang w:val="af-ZA"/>
        </w:rPr>
        <w:t>Die finale administratiewe dokument is deur die “Bureau of Plant Industry (BPI)</w:t>
      </w:r>
      <w:r>
        <w:rPr>
          <w:noProof/>
          <w:lang w:val="af-ZA"/>
        </w:rPr>
        <w:t>”</w:t>
      </w:r>
      <w:r w:rsidRPr="00810F8B">
        <w:rPr>
          <w:noProof/>
          <w:lang w:val="af-ZA"/>
        </w:rPr>
        <w:t xml:space="preserve"> in Manila onderteken en invoerders kan nou vir permitte aansoek doen om Suid-Afrikaanse vrugte in die Filippyne te ontvang. Alhoewel toegang teen die einde van 2020 aangekondig is, maak dit nou die deure oop. Die CGA wil weereens diegene bedank wat dit moontlik gemaak het - in besonder DALRRD Plantgesondheid, CRI, PPECB en FPEF. En 'n spesiale woord van dank aan die voormalige ambassadeur in Manila, Martin Slabber - hy het </w:t>
      </w:r>
      <w:r w:rsidR="00A6574F">
        <w:rPr>
          <w:noProof/>
          <w:lang w:val="af-ZA"/>
        </w:rPr>
        <w:t>d</w:t>
      </w:r>
      <w:r w:rsidRPr="00810F8B">
        <w:rPr>
          <w:noProof/>
          <w:lang w:val="af-ZA"/>
        </w:rPr>
        <w:t>ruk gedurende sy ampstermyn toegepas.</w:t>
      </w:r>
    </w:p>
    <w:p w14:paraId="65F6091C" w14:textId="77777777" w:rsidR="00810F8B" w:rsidRPr="00810F8B" w:rsidRDefault="00810F8B" w:rsidP="00810F8B">
      <w:pPr>
        <w:spacing w:after="0"/>
        <w:jc w:val="both"/>
        <w:rPr>
          <w:b/>
          <w:bCs/>
          <w:noProof/>
          <w:color w:val="7030A0"/>
          <w:u w:val="single"/>
          <w:lang w:val="af-ZA"/>
        </w:rPr>
      </w:pPr>
      <w:r w:rsidRPr="00810F8B">
        <w:rPr>
          <w:rFonts w:asciiTheme="minorHAnsi" w:eastAsia="Times New Roman" w:hAnsiTheme="minorHAnsi" w:cstheme="minorHAnsi"/>
          <w:b/>
          <w:noProof/>
          <w:color w:val="7030A0"/>
          <w:u w:val="single"/>
          <w:lang w:val="af-ZA"/>
        </w:rPr>
        <w:t>CGA GROWER DEVELOPMENT COMPANY (CGA GDC)</w:t>
      </w:r>
      <w:r w:rsidRPr="00810F8B">
        <w:rPr>
          <w:b/>
          <w:bCs/>
          <w:noProof/>
          <w:color w:val="7030A0"/>
          <w:u w:val="single"/>
          <w:lang w:val="af-ZA"/>
        </w:rPr>
        <w:t xml:space="preserve"> – OPDATERING VAN SITUASIONELE ANALISE</w:t>
      </w:r>
    </w:p>
    <w:p w14:paraId="2AC86D1C" w14:textId="21EF10CF" w:rsidR="00810F8B" w:rsidRDefault="00810F8B" w:rsidP="00A6574F">
      <w:pPr>
        <w:spacing w:after="0"/>
        <w:jc w:val="both"/>
        <w:rPr>
          <w:noProof/>
          <w:lang w:val="af-ZA"/>
        </w:rPr>
      </w:pPr>
      <w:r w:rsidRPr="00810F8B">
        <w:rPr>
          <w:noProof/>
          <w:lang w:val="af-ZA"/>
        </w:rPr>
        <w:t>Die werk van die CGA GDC word deur die behoeftes van die produsente gelei - 'n kritieke deel van die bepaling van hierdie behoeftes is die situasi</w:t>
      </w:r>
      <w:r w:rsidR="00A6574F">
        <w:rPr>
          <w:noProof/>
          <w:lang w:val="af-ZA"/>
        </w:rPr>
        <w:t xml:space="preserve">onele </w:t>
      </w:r>
      <w:r w:rsidRPr="00810F8B">
        <w:rPr>
          <w:noProof/>
          <w:lang w:val="af-ZA"/>
        </w:rPr>
        <w:t>- om v</w:t>
      </w:r>
      <w:r w:rsidR="00D72A4D">
        <w:rPr>
          <w:noProof/>
          <w:lang w:val="af-ZA"/>
        </w:rPr>
        <w:t xml:space="preserve">anaf </w:t>
      </w:r>
      <w:r w:rsidRPr="00810F8B">
        <w:rPr>
          <w:noProof/>
          <w:lang w:val="af-ZA"/>
        </w:rPr>
        <w:t xml:space="preserve">elke produsent te bepaal wat dit </w:t>
      </w:r>
      <w:r w:rsidR="00D72A4D">
        <w:rPr>
          <w:noProof/>
          <w:lang w:val="af-ZA"/>
        </w:rPr>
        <w:t xml:space="preserve">is wat </w:t>
      </w:r>
      <w:r w:rsidRPr="00810F8B">
        <w:rPr>
          <w:noProof/>
          <w:lang w:val="af-ZA"/>
        </w:rPr>
        <w:t>sal help om hul volhoubaarheid en winsgewendheid te bevorder. Die CGA GDC is nou besig met die opdatering van hierdie analise - produse</w:t>
      </w:r>
      <w:r w:rsidR="0015616F">
        <w:rPr>
          <w:noProof/>
          <w:lang w:val="af-ZA"/>
        </w:rPr>
        <w:t xml:space="preserve">nte word aangemoedig om CGA GDC </w:t>
      </w:r>
      <w:r w:rsidRPr="00810F8B">
        <w:rPr>
          <w:noProof/>
          <w:lang w:val="af-ZA"/>
        </w:rPr>
        <w:t>personeel te help om hierdie analise af te handel.</w:t>
      </w:r>
    </w:p>
    <w:p w14:paraId="7B898276" w14:textId="0ED60D90" w:rsidR="009A7DA1" w:rsidRPr="009A7DA1" w:rsidRDefault="00A6574F" w:rsidP="009A7DA1">
      <w:pPr>
        <w:spacing w:after="0" w:line="240" w:lineRule="auto"/>
        <w:jc w:val="both"/>
        <w:rPr>
          <w:b/>
          <w:bCs/>
          <w:noProof/>
          <w:color w:val="7030A0"/>
          <w:u w:val="single"/>
          <w:lang w:val="af-ZA"/>
        </w:rPr>
      </w:pPr>
      <w:r>
        <w:rPr>
          <w:b/>
          <w:bCs/>
          <w:noProof/>
          <w:color w:val="7030A0"/>
          <w:u w:val="single"/>
          <w:lang w:val="af-ZA"/>
        </w:rPr>
        <w:t>GEESTESGESONDHEID EN COVID-</w:t>
      </w:r>
      <w:r w:rsidR="009A7DA1" w:rsidRPr="009A7DA1">
        <w:rPr>
          <w:b/>
          <w:bCs/>
          <w:noProof/>
          <w:color w:val="7030A0"/>
          <w:u w:val="single"/>
          <w:lang w:val="af-ZA"/>
        </w:rPr>
        <w:t>19</w:t>
      </w:r>
    </w:p>
    <w:p w14:paraId="655EDEE1" w14:textId="05DB6B2D" w:rsidR="009A7DA1" w:rsidRPr="009A7DA1" w:rsidRDefault="009A7DA1" w:rsidP="00877E24">
      <w:pPr>
        <w:spacing w:after="0" w:line="240" w:lineRule="auto"/>
        <w:jc w:val="both"/>
        <w:rPr>
          <w:noProof/>
          <w:lang w:val="af-ZA"/>
        </w:rPr>
      </w:pPr>
      <w:r w:rsidRPr="009A7DA1">
        <w:rPr>
          <w:noProof/>
          <w:lang w:val="af-ZA"/>
        </w:rPr>
        <w:t xml:space="preserve">Net meer as 'n jaar gelede het ons gesien hoe die lewe tydens 'n pandemie sou word. Die harde inperking (vlak 5) sou drie weke geduur het; baie het gehoop dat die lewe dan normaal sou word, maar die meeste het geweet dat ons vir langtermyn </w:t>
      </w:r>
      <w:r w:rsidR="00877E24">
        <w:rPr>
          <w:noProof/>
          <w:lang w:val="af-ZA"/>
        </w:rPr>
        <w:t xml:space="preserve">in </w:t>
      </w:r>
      <w:r>
        <w:rPr>
          <w:noProof/>
          <w:lang w:val="af-ZA"/>
        </w:rPr>
        <w:t>gaan</w:t>
      </w:r>
      <w:r w:rsidRPr="009A7DA1">
        <w:rPr>
          <w:noProof/>
          <w:lang w:val="af-ZA"/>
        </w:rPr>
        <w:t xml:space="preserve"> wees.</w:t>
      </w:r>
    </w:p>
    <w:p w14:paraId="03993AE1" w14:textId="0E75409E" w:rsidR="009A7DA1" w:rsidRPr="009A7DA1" w:rsidRDefault="009A7DA1" w:rsidP="00A6574F">
      <w:pPr>
        <w:spacing w:after="0" w:line="240" w:lineRule="auto"/>
        <w:jc w:val="both"/>
        <w:rPr>
          <w:noProof/>
          <w:lang w:val="af-ZA"/>
        </w:rPr>
      </w:pPr>
      <w:r w:rsidRPr="009A7DA1">
        <w:rPr>
          <w:noProof/>
          <w:lang w:val="af-ZA"/>
        </w:rPr>
        <w:t xml:space="preserve">'n Jaar later is ons meer voorbereid op die ongerief en spanning wat veroorsaak word deur die reaksie op die pandemie - en die kort tou wat die regering loop om lewens en voortbestaan ​​te beskerm. ‘n Impak van die inperking wat dikwels oor die hoof </w:t>
      </w:r>
      <w:r w:rsidR="00877E24">
        <w:rPr>
          <w:noProof/>
          <w:lang w:val="af-ZA"/>
        </w:rPr>
        <w:t>ge</w:t>
      </w:r>
      <w:r w:rsidRPr="009A7DA1">
        <w:rPr>
          <w:noProof/>
          <w:lang w:val="af-ZA"/>
        </w:rPr>
        <w:t xml:space="preserve">sien word, is geestesgesondheid. 'n Discovery Health-aanbieding het 'n paar interessante statistieke uitgewys – in die gesondheidsgroep wat inkomste verdien deur ortopediese chirurge, het na COVID met 8% gedaal (hoofsaaklik as gevolg van mense wat elektiewe chirurgie vertraag het); radioloë het met 12% gedaal; algemene praktisyns het met 22% gedaal (mense het nie siek geword nie en wou ook nie na dokterskamers gaan nie - my vrou is 'n apteker en sê dat die verkope van antibiotika en verkoue- en griepmedisyne dramaties gedaal het) en </w:t>
      </w:r>
      <w:r w:rsidR="00A6574F">
        <w:rPr>
          <w:noProof/>
          <w:lang w:val="af-ZA"/>
        </w:rPr>
        <w:t>pediaters</w:t>
      </w:r>
      <w:r w:rsidRPr="009A7DA1">
        <w:rPr>
          <w:noProof/>
          <w:lang w:val="af-ZA"/>
        </w:rPr>
        <w:t xml:space="preserve"> met 19%. Omgekeerd het patoloë se inkomste met 11% gestyg (meer toetse) en sielkundiges met 6%. Dit is belangrik dat ons almal bewus word van die impak van COVID-19 op geestelike welstand; wees so bietjie meer verdraagsaam </w:t>
      </w:r>
      <w:r w:rsidR="00A6574F">
        <w:rPr>
          <w:noProof/>
          <w:lang w:val="af-ZA"/>
        </w:rPr>
        <w:t xml:space="preserve">teenoor </w:t>
      </w:r>
      <w:r w:rsidRPr="009A7DA1">
        <w:rPr>
          <w:noProof/>
          <w:lang w:val="af-ZA"/>
        </w:rPr>
        <w:t xml:space="preserve">ander. Mense reageer </w:t>
      </w:r>
      <w:r w:rsidR="00A6574F">
        <w:rPr>
          <w:noProof/>
          <w:lang w:val="af-ZA"/>
        </w:rPr>
        <w:t xml:space="preserve">verskillend </w:t>
      </w:r>
      <w:r w:rsidRPr="009A7DA1">
        <w:rPr>
          <w:noProof/>
          <w:lang w:val="af-ZA"/>
        </w:rPr>
        <w:t>op verandering; sommige neem dit in hul pas, terwyl ander spanning ondervind.</w:t>
      </w:r>
    </w:p>
    <w:p w14:paraId="287474C0" w14:textId="433CA4C5" w:rsidR="009A7DA1" w:rsidRPr="009A7DA1" w:rsidRDefault="009A7DA1" w:rsidP="009A7DA1">
      <w:pPr>
        <w:spacing w:after="0" w:line="240" w:lineRule="auto"/>
        <w:jc w:val="both"/>
        <w:rPr>
          <w:noProof/>
          <w:lang w:val="af-ZA"/>
        </w:rPr>
      </w:pPr>
      <w:r w:rsidRPr="009A7DA1">
        <w:rPr>
          <w:noProof/>
          <w:lang w:val="af-ZA"/>
        </w:rPr>
        <w:t xml:space="preserve">Business for South Africa het enkele weke gelede 'n baie insiggewende webinar gehou. Die twee onderwerpe wat bespreek is, was werkersregte en die uitrol van die inenting (wat 'n goeie oorsig van die virus self gee). Dit is die moeite werd om </w:t>
      </w:r>
      <w:r w:rsidR="00A6574F">
        <w:rPr>
          <w:noProof/>
          <w:lang w:val="af-ZA"/>
        </w:rPr>
        <w:t xml:space="preserve">na </w:t>
      </w:r>
      <w:r w:rsidRPr="009A7DA1">
        <w:rPr>
          <w:noProof/>
          <w:lang w:val="af-ZA"/>
        </w:rPr>
        <w:t>die een uur te kyk: https://www.youtube.com/watch?v=8_imTmDWcYc</w:t>
      </w:r>
    </w:p>
    <w:p w14:paraId="51D46074" w14:textId="77777777" w:rsidR="009A7DA1" w:rsidRPr="009A7DA1" w:rsidRDefault="009A7DA1" w:rsidP="009A7DA1">
      <w:pPr>
        <w:spacing w:after="0" w:line="240" w:lineRule="auto"/>
        <w:jc w:val="both"/>
        <w:rPr>
          <w:noProof/>
          <w:lang w:val="af-ZA"/>
        </w:rPr>
      </w:pPr>
    </w:p>
    <w:p w14:paraId="5978FCE4" w14:textId="57657912" w:rsidR="00AD79A4" w:rsidRPr="00DD3A75" w:rsidRDefault="00B07E05" w:rsidP="009A7DA1">
      <w:pPr>
        <w:spacing w:after="0"/>
        <w:rPr>
          <w:rFonts w:asciiTheme="minorHAnsi" w:eastAsia="Times New Roman" w:hAnsiTheme="minorHAnsi" w:cstheme="minorHAnsi"/>
          <w:b/>
          <w:color w:val="7030A0"/>
          <w:u w:val="single"/>
          <w:lang w:val="en-US"/>
        </w:rPr>
      </w:pPr>
      <w:r>
        <w:rPr>
          <w:rFonts w:asciiTheme="minorHAnsi" w:eastAsia="Times New Roman" w:hAnsiTheme="minorHAnsi" w:cstheme="minorHAnsi"/>
          <w:b/>
          <w:color w:val="7030A0"/>
          <w:u w:val="single"/>
          <w:lang w:val="en-US"/>
        </w:rPr>
        <w:t>WEEK</w:t>
      </w:r>
      <w:r w:rsidR="009A7DA1">
        <w:rPr>
          <w:rFonts w:asciiTheme="minorHAnsi" w:eastAsia="Times New Roman" w:hAnsiTheme="minorHAnsi" w:cstheme="minorHAnsi"/>
          <w:b/>
          <w:color w:val="7030A0"/>
          <w:u w:val="single"/>
          <w:lang w:val="en-US"/>
        </w:rPr>
        <w:t xml:space="preserve">LIKSE </w:t>
      </w:r>
      <w:r>
        <w:rPr>
          <w:rFonts w:asciiTheme="minorHAnsi" w:eastAsia="Times New Roman" w:hAnsiTheme="minorHAnsi" w:cstheme="minorHAnsi"/>
          <w:b/>
          <w:color w:val="7030A0"/>
          <w:u w:val="single"/>
          <w:lang w:val="en-US"/>
        </w:rPr>
        <w:t>STATISTI</w:t>
      </w:r>
      <w:r w:rsidR="009A7DA1">
        <w:rPr>
          <w:rFonts w:asciiTheme="minorHAnsi" w:eastAsia="Times New Roman" w:hAnsiTheme="minorHAnsi" w:cstheme="minorHAnsi"/>
          <w:b/>
          <w:color w:val="7030A0"/>
          <w:u w:val="single"/>
          <w:lang w:val="en-US"/>
        </w:rPr>
        <w:t>EK</w:t>
      </w:r>
      <w:r>
        <w:rPr>
          <w:rFonts w:asciiTheme="minorHAnsi" w:eastAsia="Times New Roman" w:hAnsiTheme="minorHAnsi" w:cstheme="minorHAnsi"/>
          <w:b/>
          <w:color w:val="7030A0"/>
          <w:u w:val="single"/>
          <w:lang w:val="en-US"/>
        </w:rPr>
        <w:t xml:space="preserve">: </w:t>
      </w:r>
      <w:r w:rsidR="00C32E5C">
        <w:rPr>
          <w:rFonts w:asciiTheme="minorHAnsi" w:eastAsia="Times New Roman" w:hAnsiTheme="minorHAnsi" w:cstheme="minorHAnsi"/>
          <w:b/>
          <w:color w:val="7030A0"/>
          <w:u w:val="single"/>
          <w:lang w:val="en-US"/>
        </w:rPr>
        <w:t xml:space="preserve">2021 VALENCIA </w:t>
      </w:r>
      <w:r w:rsidR="009A7DA1">
        <w:rPr>
          <w:rFonts w:asciiTheme="minorHAnsi" w:eastAsia="Times New Roman" w:hAnsiTheme="minorHAnsi" w:cstheme="minorHAnsi"/>
          <w:b/>
          <w:color w:val="7030A0"/>
          <w:u w:val="single"/>
          <w:lang w:val="en-US"/>
        </w:rPr>
        <w:t>SKATTING</w:t>
      </w:r>
    </w:p>
    <w:p w14:paraId="014A975F" w14:textId="3664A96F" w:rsidR="00FF218A" w:rsidRPr="009B1F88" w:rsidRDefault="00C32E5C" w:rsidP="00DD3A75">
      <w:pPr>
        <w:spacing w:after="0"/>
        <w:rPr>
          <w:rFonts w:asciiTheme="minorHAnsi" w:eastAsia="Times New Roman" w:hAnsiTheme="minorHAnsi" w:cstheme="minorHAnsi"/>
          <w:sz w:val="24"/>
          <w:szCs w:val="24"/>
          <w:lang w:val="en-US"/>
        </w:rPr>
      </w:pPr>
      <w:r w:rsidRPr="00C32E5C">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03A53D6C" wp14:editId="10DF3020">
                <wp:simplePos x="0" y="0"/>
                <wp:positionH relativeFrom="margin">
                  <wp:posOffset>5067300</wp:posOffset>
                </wp:positionH>
                <wp:positionV relativeFrom="paragraph">
                  <wp:posOffset>8890</wp:posOffset>
                </wp:positionV>
                <wp:extent cx="1635125" cy="21526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152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C52D5EC" w14:textId="0889FC53" w:rsidR="009A7DA1" w:rsidRPr="009A7DA1" w:rsidRDefault="009A7DA1" w:rsidP="009A7DA1">
                            <w:pPr>
                              <w:spacing w:line="240" w:lineRule="auto"/>
                              <w:jc w:val="both"/>
                              <w:rPr>
                                <w:rFonts w:asciiTheme="minorHAnsi" w:eastAsiaTheme="minorHAnsi" w:hAnsiTheme="minorHAnsi" w:cstheme="minorBidi"/>
                                <w:noProof/>
                                <w:lang w:val="af-ZA"/>
                              </w:rPr>
                            </w:pPr>
                            <w:r w:rsidRPr="009A7DA1">
                              <w:rPr>
                                <w:rFonts w:asciiTheme="minorHAnsi" w:eastAsiaTheme="minorHAnsi" w:hAnsiTheme="minorHAnsi" w:cstheme="minorBidi"/>
                                <w:noProof/>
                                <w:lang w:val="af-ZA"/>
                              </w:rPr>
                              <w:t xml:space="preserve">Die 2021-skatting van  suider-Afrika se Valencias is effens hoër as die werklike volume van 2020 - 'n toename van 5%. Dit is die grootste Valencia oes tot nou toe. Die Valencia-sektor is blykbaar nou besig om op </w:t>
                            </w:r>
                            <w:r w:rsidR="00A6574F">
                              <w:rPr>
                                <w:rFonts w:asciiTheme="minorHAnsi" w:eastAsiaTheme="minorHAnsi" w:hAnsiTheme="minorHAnsi" w:cstheme="minorBidi"/>
                                <w:noProof/>
                                <w:lang w:val="af-ZA"/>
                              </w:rPr>
                              <w:t xml:space="preserve">die </w:t>
                            </w:r>
                            <w:r w:rsidRPr="009A7DA1">
                              <w:rPr>
                                <w:rFonts w:asciiTheme="minorHAnsi" w:eastAsiaTheme="minorHAnsi" w:hAnsiTheme="minorHAnsi" w:cstheme="minorBidi"/>
                                <w:noProof/>
                                <w:lang w:val="af-ZA"/>
                              </w:rPr>
                              <w:t>ongeveer 55 miljoen kartonmerk te stabiliseer.</w:t>
                            </w:r>
                          </w:p>
                          <w:p w14:paraId="070105FE" w14:textId="6AE28A24" w:rsidR="00C32E5C" w:rsidRDefault="00C32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53D6C" id="_x0000_t202" coordsize="21600,21600" o:spt="202" path="m,l,21600r21600,l21600,xe">
                <v:stroke joinstyle="miter"/>
                <v:path gradientshapeok="t" o:connecttype="rect"/>
              </v:shapetype>
              <v:shape id="Text Box 2" o:spid="_x0000_s1026" type="#_x0000_t202" style="position:absolute;margin-left:399pt;margin-top:.7pt;width:128.75pt;height:1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" fillcolor="white [3201]" strokecolor="#ed7d31 [3205]" strokeweight="1pt">
                <v:textbox>
                  <w:txbxContent>
                    <w:p w14:paraId="3C52D5EC" w14:textId="0889FC53" w:rsidR="009A7DA1" w:rsidRPr="009A7DA1" w:rsidRDefault="009A7DA1" w:rsidP="009A7DA1">
                      <w:pPr>
                        <w:spacing w:line="240" w:lineRule="auto"/>
                        <w:jc w:val="both"/>
                        <w:rPr>
                          <w:rFonts w:asciiTheme="minorHAnsi" w:eastAsiaTheme="minorHAnsi" w:hAnsiTheme="minorHAnsi" w:cstheme="minorBidi"/>
                          <w:noProof/>
                          <w:lang w:val="af-ZA"/>
                        </w:rPr>
                      </w:pPr>
                      <w:r w:rsidRPr="009A7DA1">
                        <w:rPr>
                          <w:rFonts w:asciiTheme="minorHAnsi" w:eastAsiaTheme="minorHAnsi" w:hAnsiTheme="minorHAnsi" w:cstheme="minorBidi"/>
                          <w:noProof/>
                          <w:lang w:val="af-ZA"/>
                        </w:rPr>
                        <w:t xml:space="preserve">Die 2021-skatting van  suider-Afrika se Valencias is effens hoër as die werklike volume van 2020 - 'n toename van 5%. Dit is die grootste Valencia oes tot nou toe. Die Valencia-sektor is blykbaar nou besig om op </w:t>
                      </w:r>
                      <w:r w:rsidR="00A6574F">
                        <w:rPr>
                          <w:rFonts w:asciiTheme="minorHAnsi" w:eastAsiaTheme="minorHAnsi" w:hAnsiTheme="minorHAnsi" w:cstheme="minorBidi"/>
                          <w:noProof/>
                          <w:lang w:val="af-ZA"/>
                        </w:rPr>
                        <w:t xml:space="preserve">die </w:t>
                      </w:r>
                      <w:bookmarkStart w:id="1" w:name="_GoBack"/>
                      <w:bookmarkEnd w:id="1"/>
                      <w:r w:rsidRPr="009A7DA1">
                        <w:rPr>
                          <w:rFonts w:asciiTheme="minorHAnsi" w:eastAsiaTheme="minorHAnsi" w:hAnsiTheme="minorHAnsi" w:cstheme="minorBidi"/>
                          <w:noProof/>
                          <w:lang w:val="af-ZA"/>
                        </w:rPr>
                        <w:t>ongeveer 55 miljoen kartonmerk te stabiliseer.</w:t>
                      </w:r>
                    </w:p>
                    <w:p w14:paraId="070105FE" w14:textId="6AE28A24" w:rsidR="00C32E5C" w:rsidRDefault="00C32E5C"/>
                  </w:txbxContent>
                </v:textbox>
                <w10:wrap type="square" anchorx="margin"/>
              </v:shape>
            </w:pict>
          </mc:Fallback>
        </mc:AlternateContent>
      </w:r>
      <w:r w:rsidRPr="00C32E5C">
        <w:rPr>
          <w:rFonts w:asciiTheme="minorHAnsi" w:eastAsia="Times New Roman" w:hAnsiTheme="minorHAnsi" w:cstheme="minorHAnsi"/>
          <w:noProof/>
          <w:sz w:val="24"/>
          <w:szCs w:val="24"/>
          <w:lang w:val="en-US"/>
        </w:rPr>
        <w:drawing>
          <wp:inline distT="0" distB="0" distL="0" distR="0" wp14:anchorId="5D1CCFDA" wp14:editId="0A62FA6E">
            <wp:extent cx="4819650" cy="2171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200F36" w14:textId="4A4F1234"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CBAF" w14:textId="77777777" w:rsidR="00C77AB4" w:rsidRDefault="00C77AB4" w:rsidP="00595E08">
      <w:pPr>
        <w:spacing w:after="0" w:line="240" w:lineRule="auto"/>
      </w:pPr>
      <w:r>
        <w:separator/>
      </w:r>
    </w:p>
  </w:endnote>
  <w:endnote w:type="continuationSeparator" w:id="0">
    <w:p w14:paraId="33E5E54B" w14:textId="77777777" w:rsidR="00C77AB4" w:rsidRDefault="00C77AB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45EF7" w14:textId="77777777" w:rsidR="00C77AB4" w:rsidRDefault="00C77AB4" w:rsidP="00595E08">
      <w:pPr>
        <w:spacing w:after="0" w:line="240" w:lineRule="auto"/>
      </w:pPr>
      <w:r>
        <w:separator/>
      </w:r>
    </w:p>
  </w:footnote>
  <w:footnote w:type="continuationSeparator" w:id="0">
    <w:p w14:paraId="7A64D517" w14:textId="77777777" w:rsidR="00C77AB4" w:rsidRDefault="00C77AB4"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B22BD"/>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2042A"/>
    <w:rsid w:val="001218D8"/>
    <w:rsid w:val="00122FC7"/>
    <w:rsid w:val="00124699"/>
    <w:rsid w:val="00136127"/>
    <w:rsid w:val="00142E5B"/>
    <w:rsid w:val="0015485D"/>
    <w:rsid w:val="001549C2"/>
    <w:rsid w:val="0015616F"/>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1F7272"/>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15C5"/>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7446D"/>
    <w:rsid w:val="006832EE"/>
    <w:rsid w:val="006852F9"/>
    <w:rsid w:val="00690E5D"/>
    <w:rsid w:val="0069320C"/>
    <w:rsid w:val="0069350E"/>
    <w:rsid w:val="00695012"/>
    <w:rsid w:val="006A0B6E"/>
    <w:rsid w:val="006A5DD3"/>
    <w:rsid w:val="006B22E7"/>
    <w:rsid w:val="006D3BE7"/>
    <w:rsid w:val="006E0A15"/>
    <w:rsid w:val="006E1598"/>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0F8B"/>
    <w:rsid w:val="0081352C"/>
    <w:rsid w:val="0081487A"/>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77E24"/>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A7DA1"/>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6574F"/>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B0109A"/>
    <w:rsid w:val="00B04E97"/>
    <w:rsid w:val="00B06DA7"/>
    <w:rsid w:val="00B07E05"/>
    <w:rsid w:val="00B11F72"/>
    <w:rsid w:val="00B1434B"/>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B4"/>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72A4D"/>
    <w:rsid w:val="00D81CCB"/>
    <w:rsid w:val="00D84A21"/>
    <w:rsid w:val="00D875E6"/>
    <w:rsid w:val="00D94669"/>
    <w:rsid w:val="00DA0CE9"/>
    <w:rsid w:val="00DB0052"/>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32FE"/>
    <w:rsid w:val="00F440B1"/>
    <w:rsid w:val="00F443E3"/>
    <w:rsid w:val="00F454F9"/>
    <w:rsid w:val="00F50DDA"/>
    <w:rsid w:val="00F518CF"/>
    <w:rsid w:val="00F55830"/>
    <w:rsid w:val="00F57F49"/>
    <w:rsid w:val="00F6437C"/>
    <w:rsid w:val="00F679DE"/>
    <w:rsid w:val="00F83F1A"/>
    <w:rsid w:val="00F867C4"/>
    <w:rsid w:val="00F915E8"/>
    <w:rsid w:val="00F936DB"/>
    <w:rsid w:val="00FA03BD"/>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122C"/>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445850845">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17747179">
      <w:bodyDiv w:val="1"/>
      <w:marLeft w:val="0"/>
      <w:marRight w:val="0"/>
      <w:marTop w:val="0"/>
      <w:marBottom w:val="0"/>
      <w:divBdr>
        <w:top w:val="none" w:sz="0" w:space="0" w:color="auto"/>
        <w:left w:val="none" w:sz="0" w:space="0" w:color="auto"/>
        <w:bottom w:val="none" w:sz="0" w:space="0" w:color="auto"/>
        <w:right w:val="none" w:sz="0" w:space="0" w:color="auto"/>
      </w:divBdr>
    </w:div>
    <w:div w:id="1420256437">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69817874">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6600"/>
            </a:solidFill>
            <a:ln>
              <a:noFill/>
            </a:ln>
            <a:effectLst/>
          </c:spPr>
          <c:invertIfNegative val="0"/>
          <c:dPt>
            <c:idx val="10"/>
            <c:invertIfNegative val="0"/>
            <c:bubble3D val="0"/>
            <c:spPr>
              <a:pattFill prst="dkUpDiag">
                <a:fgClr>
                  <a:srgbClr val="92D050"/>
                </a:fgClr>
                <a:bgClr>
                  <a:schemeClr val="bg1"/>
                </a:bgClr>
              </a:pattFill>
              <a:ln>
                <a:noFill/>
              </a:ln>
              <a:effectLst/>
            </c:spPr>
            <c:extLst xmlns:c16r2="http://schemas.microsoft.com/office/drawing/2015/06/chart">
              <c:ext xmlns:c16="http://schemas.microsoft.com/office/drawing/2014/chart" uri="{C3380CC4-5D6E-409C-BE32-E72D297353CC}">
                <c16:uniqueId val="{00000001-817E-4F27-BBAE-644BB69FEE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Sheet7!$A$7:$A$17</c:f>
              <c:strCache>
                <c:ptCount val="11"/>
                <c:pt idx="0">
                  <c:v>2011</c:v>
                </c:pt>
                <c:pt idx="1">
                  <c:v>2012</c:v>
                </c:pt>
                <c:pt idx="2">
                  <c:v>2013</c:v>
                </c:pt>
                <c:pt idx="3">
                  <c:v>2014</c:v>
                </c:pt>
                <c:pt idx="4">
                  <c:v>2015</c:v>
                </c:pt>
                <c:pt idx="5">
                  <c:v>2016</c:v>
                </c:pt>
                <c:pt idx="6">
                  <c:v>2017</c:v>
                </c:pt>
                <c:pt idx="7">
                  <c:v>2018</c:v>
                </c:pt>
                <c:pt idx="8">
                  <c:v>2019</c:v>
                </c:pt>
                <c:pt idx="9">
                  <c:v>2020</c:v>
                </c:pt>
                <c:pt idx="10">
                  <c:v>est 2021</c:v>
                </c:pt>
              </c:strCache>
            </c:strRef>
          </c:cat>
          <c:val>
            <c:numRef>
              <c:f>Sheet7!$B$7:$B$17</c:f>
              <c:numCache>
                <c:formatCode>#,##0.0</c:formatCode>
                <c:ptCount val="11"/>
                <c:pt idx="0">
                  <c:v>44.169899999999998</c:v>
                </c:pt>
                <c:pt idx="1">
                  <c:v>47.289859999999997</c:v>
                </c:pt>
                <c:pt idx="2">
                  <c:v>51.407688</c:v>
                </c:pt>
                <c:pt idx="3">
                  <c:v>50.865046</c:v>
                </c:pt>
                <c:pt idx="4">
                  <c:v>52.707174000000002</c:v>
                </c:pt>
                <c:pt idx="5">
                  <c:v>42.066555999999999</c:v>
                </c:pt>
                <c:pt idx="6">
                  <c:v>53.951680000000003</c:v>
                </c:pt>
                <c:pt idx="7">
                  <c:v>54.417509000000003</c:v>
                </c:pt>
                <c:pt idx="8">
                  <c:v>46.754423000000003</c:v>
                </c:pt>
                <c:pt idx="9">
                  <c:v>55.052064999999999</c:v>
                </c:pt>
                <c:pt idx="10">
                  <c:v>57.946230999999997</c:v>
                </c:pt>
              </c:numCache>
            </c:numRef>
          </c:val>
          <c:extLst xmlns:c16r2="http://schemas.microsoft.com/office/drawing/2015/06/chart">
            <c:ext xmlns:c16="http://schemas.microsoft.com/office/drawing/2014/chart" uri="{C3380CC4-5D6E-409C-BE32-E72D297353CC}">
              <c16:uniqueId val="{00000002-817E-4F27-BBAE-644BB69FEE9D}"/>
            </c:ext>
          </c:extLst>
        </c:ser>
        <c:dLbls>
          <c:showLegendKey val="0"/>
          <c:showVal val="1"/>
          <c:showCatName val="0"/>
          <c:showSerName val="0"/>
          <c:showPercent val="0"/>
          <c:showBubbleSize val="0"/>
        </c:dLbls>
        <c:gapWidth val="75"/>
        <c:axId val="360979520"/>
        <c:axId val="360976776"/>
      </c:barChart>
      <c:catAx>
        <c:axId val="36097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60976776"/>
        <c:crosses val="autoZero"/>
        <c:auto val="1"/>
        <c:lblAlgn val="ctr"/>
        <c:lblOffset val="100"/>
        <c:noMultiLvlLbl val="0"/>
      </c:catAx>
      <c:valAx>
        <c:axId val="3609767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ZA"/>
                  <a:t>Million Carons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60979520"/>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2021-02-17T14:21:00Z</cp:lastPrinted>
  <dcterms:created xsi:type="dcterms:W3CDTF">2021-04-01T09:58:00Z</dcterms:created>
  <dcterms:modified xsi:type="dcterms:W3CDTF">2021-04-01T09:58:00Z</dcterms:modified>
</cp:coreProperties>
</file>