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6"/>
      </w:tblGrid>
      <w:tr w:rsidR="00F553C7" w:rsidRPr="00901D81" w:rsidTr="00B578F6">
        <w:trPr>
          <w:trHeight w:val="15677"/>
          <w:tblCellSpacing w:w="0" w:type="dxa"/>
        </w:trPr>
        <w:tc>
          <w:tcPr>
            <w:tcW w:w="10526" w:type="dxa"/>
            <w:shd w:val="clear" w:color="auto" w:fill="auto"/>
            <w:vAlign w:val="center"/>
          </w:tcPr>
          <w:tbl>
            <w:tblPr>
              <w:tblW w:w="10946"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946"/>
            </w:tblGrid>
            <w:tr w:rsidR="00F553C7" w:rsidRPr="008C6E3A" w:rsidTr="005F6297">
              <w:trPr>
                <w:trHeight w:val="1044"/>
                <w:tblCellSpacing w:w="0" w:type="dxa"/>
              </w:trPr>
              <w:tc>
                <w:tcPr>
                  <w:tcW w:w="10946"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7D0F2A" w:rsidRDefault="007D0F2A"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7D0F2A">
                                          <w:rPr>
                                            <w:rFonts w:ascii="Comic Sans MS" w:hAnsi="Comic Sans MS"/>
                                            <w:b/>
                                            <w:i/>
                                            <w:noProof/>
                                            <w:sz w:val="32"/>
                                            <w:szCs w:val="32"/>
                                            <w:lang w:val="af-ZA"/>
                                          </w:rPr>
                                          <w:t>CEO</w:t>
                                        </w:r>
                                        <w:r w:rsidR="00863E32" w:rsidRPr="007D0F2A">
                                          <w:rPr>
                                            <w:rFonts w:ascii="Comic Sans MS" w:hAnsi="Comic Sans MS"/>
                                            <w:b/>
                                            <w:i/>
                                            <w:noProof/>
                                            <w:sz w:val="32"/>
                                            <w:szCs w:val="32"/>
                                            <w:lang w:val="af-ZA"/>
                                          </w:rPr>
                                          <w:t xml:space="preserve"> (20</w:t>
                                        </w:r>
                                        <w:r w:rsidR="00931714" w:rsidRPr="007D0F2A">
                                          <w:rPr>
                                            <w:rFonts w:ascii="Comic Sans MS" w:hAnsi="Comic Sans MS"/>
                                            <w:b/>
                                            <w:i/>
                                            <w:noProof/>
                                            <w:sz w:val="32"/>
                                            <w:szCs w:val="32"/>
                                            <w:lang w:val="af-ZA"/>
                                          </w:rPr>
                                          <w:t>/18</w:t>
                                        </w:r>
                                        <w:r w:rsidR="00044293" w:rsidRPr="007D0F2A">
                                          <w:rPr>
                                            <w:rFonts w:ascii="Comic Sans MS" w:hAnsi="Comic Sans MS"/>
                                            <w:b/>
                                            <w:i/>
                                            <w:noProof/>
                                            <w:sz w:val="32"/>
                                            <w:szCs w:val="32"/>
                                            <w:lang w:val="af-ZA"/>
                                          </w:rPr>
                                          <w:t>)</w:t>
                                        </w:r>
                                      </w:p>
                                      <w:p w:rsidR="00044293" w:rsidRPr="007D0F2A" w:rsidRDefault="00044293" w:rsidP="00DA4B02">
                                        <w:pPr>
                                          <w:spacing w:line="240" w:lineRule="auto"/>
                                          <w:rPr>
                                            <w:rFonts w:ascii="Comic Sans MS" w:hAnsi="Comic Sans MS"/>
                                            <w:b/>
                                            <w:noProof/>
                                            <w:color w:val="00B050"/>
                                            <w:sz w:val="20"/>
                                            <w:szCs w:val="20"/>
                                            <w:lang w:val="af-ZA"/>
                                          </w:rPr>
                                        </w:pPr>
                                        <w:r w:rsidRPr="007D0F2A">
                                          <w:rPr>
                                            <w:rFonts w:ascii="Comic Sans MS" w:hAnsi="Comic Sans MS"/>
                                            <w:b/>
                                            <w:noProof/>
                                            <w:color w:val="00B050"/>
                                            <w:sz w:val="20"/>
                                            <w:szCs w:val="20"/>
                                            <w:lang w:val="af-ZA"/>
                                          </w:rPr>
                                          <w:t>(</w:t>
                                        </w:r>
                                        <w:r w:rsidR="007D0F2A">
                                          <w:rPr>
                                            <w:rFonts w:ascii="Comic Sans MS" w:hAnsi="Comic Sans MS"/>
                                            <w:b/>
                                            <w:noProof/>
                                            <w:color w:val="00B050"/>
                                            <w:sz w:val="20"/>
                                            <w:szCs w:val="20"/>
                                            <w:lang w:val="af-ZA"/>
                                          </w:rPr>
                                          <w:t xml:space="preserve">Volg my op </w:t>
                                        </w:r>
                                        <w:r w:rsidRPr="007D0F2A">
                                          <w:rPr>
                                            <w:rFonts w:ascii="Comic Sans MS" w:hAnsi="Comic Sans MS"/>
                                            <w:b/>
                                            <w:noProof/>
                                            <w:color w:val="00B050"/>
                                            <w:sz w:val="20"/>
                                            <w:szCs w:val="20"/>
                                            <w:lang w:val="af-ZA"/>
                                          </w:rPr>
                                          <w:t>Twitter justchad_cga)</w:t>
                                        </w:r>
                                      </w:p>
                                      <w:p w:rsidR="00044293" w:rsidRDefault="006B457B" w:rsidP="00DA4B02">
                                        <w:pPr>
                                          <w:spacing w:line="240" w:lineRule="auto"/>
                                        </w:pPr>
                                        <w:r w:rsidRPr="007D0F2A">
                                          <w:rPr>
                                            <w:rFonts w:ascii="Comic Sans MS" w:hAnsi="Comic Sans MS"/>
                                            <w:i/>
                                            <w:noProof/>
                                            <w:sz w:val="20"/>
                                            <w:szCs w:val="20"/>
                                            <w:lang w:val="af-ZA"/>
                                          </w:rPr>
                                          <w:t xml:space="preserve">Justin Chadwick </w:t>
                                        </w:r>
                                        <w:r w:rsidR="00863E32" w:rsidRPr="007D0F2A">
                                          <w:rPr>
                                            <w:rFonts w:ascii="Comic Sans MS" w:hAnsi="Comic Sans MS"/>
                                            <w:i/>
                                            <w:noProof/>
                                            <w:sz w:val="20"/>
                                            <w:szCs w:val="20"/>
                                            <w:lang w:val="af-ZA"/>
                                          </w:rPr>
                                          <w:t>18</w:t>
                                        </w:r>
                                        <w:r w:rsidR="008279B2" w:rsidRPr="007D0F2A">
                                          <w:rPr>
                                            <w:rFonts w:ascii="Comic Sans MS" w:hAnsi="Comic Sans MS"/>
                                            <w:i/>
                                            <w:noProof/>
                                            <w:sz w:val="20"/>
                                            <w:szCs w:val="20"/>
                                            <w:lang w:val="af-ZA"/>
                                          </w:rPr>
                                          <w:t xml:space="preserve"> M</w:t>
                                        </w:r>
                                        <w:r w:rsidR="007D0F2A">
                                          <w:rPr>
                                            <w:rFonts w:ascii="Comic Sans MS" w:hAnsi="Comic Sans MS"/>
                                            <w:i/>
                                            <w:noProof/>
                                            <w:sz w:val="20"/>
                                            <w:szCs w:val="20"/>
                                            <w:lang w:val="af-ZA"/>
                                          </w:rPr>
                                          <w:t>ei</w:t>
                                        </w:r>
                                        <w:r w:rsidR="00931714" w:rsidRPr="007D0F2A">
                                          <w:rPr>
                                            <w:rFonts w:ascii="Comic Sans MS" w:hAnsi="Comic Sans MS"/>
                                            <w:i/>
                                            <w:noProof/>
                                            <w:sz w:val="20"/>
                                            <w:szCs w:val="20"/>
                                            <w:lang w:val="af-ZA"/>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7D0F2A" w:rsidRDefault="007D0F2A"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7D0F2A">
                                    <w:rPr>
                                      <w:rFonts w:ascii="Comic Sans MS" w:hAnsi="Comic Sans MS"/>
                                      <w:b/>
                                      <w:i/>
                                      <w:noProof/>
                                      <w:sz w:val="32"/>
                                      <w:szCs w:val="32"/>
                                      <w:lang w:val="af-ZA"/>
                                    </w:rPr>
                                    <w:t>CEO</w:t>
                                  </w:r>
                                  <w:r w:rsidR="00863E32" w:rsidRPr="007D0F2A">
                                    <w:rPr>
                                      <w:rFonts w:ascii="Comic Sans MS" w:hAnsi="Comic Sans MS"/>
                                      <w:b/>
                                      <w:i/>
                                      <w:noProof/>
                                      <w:sz w:val="32"/>
                                      <w:szCs w:val="32"/>
                                      <w:lang w:val="af-ZA"/>
                                    </w:rPr>
                                    <w:t xml:space="preserve"> (20</w:t>
                                  </w:r>
                                  <w:r w:rsidR="00931714" w:rsidRPr="007D0F2A">
                                    <w:rPr>
                                      <w:rFonts w:ascii="Comic Sans MS" w:hAnsi="Comic Sans MS"/>
                                      <w:b/>
                                      <w:i/>
                                      <w:noProof/>
                                      <w:sz w:val="32"/>
                                      <w:szCs w:val="32"/>
                                      <w:lang w:val="af-ZA"/>
                                    </w:rPr>
                                    <w:t>/18</w:t>
                                  </w:r>
                                  <w:r w:rsidR="00044293" w:rsidRPr="007D0F2A">
                                    <w:rPr>
                                      <w:rFonts w:ascii="Comic Sans MS" w:hAnsi="Comic Sans MS"/>
                                      <w:b/>
                                      <w:i/>
                                      <w:noProof/>
                                      <w:sz w:val="32"/>
                                      <w:szCs w:val="32"/>
                                      <w:lang w:val="af-ZA"/>
                                    </w:rPr>
                                    <w:t>)</w:t>
                                  </w:r>
                                </w:p>
                                <w:p w:rsidR="00044293" w:rsidRPr="007D0F2A" w:rsidRDefault="00044293" w:rsidP="00DA4B02">
                                  <w:pPr>
                                    <w:spacing w:line="240" w:lineRule="auto"/>
                                    <w:rPr>
                                      <w:rFonts w:ascii="Comic Sans MS" w:hAnsi="Comic Sans MS"/>
                                      <w:b/>
                                      <w:noProof/>
                                      <w:color w:val="00B050"/>
                                      <w:sz w:val="20"/>
                                      <w:szCs w:val="20"/>
                                      <w:lang w:val="af-ZA"/>
                                    </w:rPr>
                                  </w:pPr>
                                  <w:r w:rsidRPr="007D0F2A">
                                    <w:rPr>
                                      <w:rFonts w:ascii="Comic Sans MS" w:hAnsi="Comic Sans MS"/>
                                      <w:b/>
                                      <w:noProof/>
                                      <w:color w:val="00B050"/>
                                      <w:sz w:val="20"/>
                                      <w:szCs w:val="20"/>
                                      <w:lang w:val="af-ZA"/>
                                    </w:rPr>
                                    <w:t>(</w:t>
                                  </w:r>
                                  <w:r w:rsidR="007D0F2A">
                                    <w:rPr>
                                      <w:rFonts w:ascii="Comic Sans MS" w:hAnsi="Comic Sans MS"/>
                                      <w:b/>
                                      <w:noProof/>
                                      <w:color w:val="00B050"/>
                                      <w:sz w:val="20"/>
                                      <w:szCs w:val="20"/>
                                      <w:lang w:val="af-ZA"/>
                                    </w:rPr>
                                    <w:t xml:space="preserve">Volg my op </w:t>
                                  </w:r>
                                  <w:r w:rsidRPr="007D0F2A">
                                    <w:rPr>
                                      <w:rFonts w:ascii="Comic Sans MS" w:hAnsi="Comic Sans MS"/>
                                      <w:b/>
                                      <w:noProof/>
                                      <w:color w:val="00B050"/>
                                      <w:sz w:val="20"/>
                                      <w:szCs w:val="20"/>
                                      <w:lang w:val="af-ZA"/>
                                    </w:rPr>
                                    <w:t>Twitter justchad_cga)</w:t>
                                  </w:r>
                                </w:p>
                                <w:p w:rsidR="00044293" w:rsidRDefault="006B457B" w:rsidP="00DA4B02">
                                  <w:pPr>
                                    <w:spacing w:line="240" w:lineRule="auto"/>
                                  </w:pPr>
                                  <w:r w:rsidRPr="007D0F2A">
                                    <w:rPr>
                                      <w:rFonts w:ascii="Comic Sans MS" w:hAnsi="Comic Sans MS"/>
                                      <w:i/>
                                      <w:noProof/>
                                      <w:sz w:val="20"/>
                                      <w:szCs w:val="20"/>
                                      <w:lang w:val="af-ZA"/>
                                    </w:rPr>
                                    <w:t xml:space="preserve">Justin Chadwick </w:t>
                                  </w:r>
                                  <w:r w:rsidR="00863E32" w:rsidRPr="007D0F2A">
                                    <w:rPr>
                                      <w:rFonts w:ascii="Comic Sans MS" w:hAnsi="Comic Sans MS"/>
                                      <w:i/>
                                      <w:noProof/>
                                      <w:sz w:val="20"/>
                                      <w:szCs w:val="20"/>
                                      <w:lang w:val="af-ZA"/>
                                    </w:rPr>
                                    <w:t>18</w:t>
                                  </w:r>
                                  <w:r w:rsidR="008279B2" w:rsidRPr="007D0F2A">
                                    <w:rPr>
                                      <w:rFonts w:ascii="Comic Sans MS" w:hAnsi="Comic Sans MS"/>
                                      <w:i/>
                                      <w:noProof/>
                                      <w:sz w:val="20"/>
                                      <w:szCs w:val="20"/>
                                      <w:lang w:val="af-ZA"/>
                                    </w:rPr>
                                    <w:t xml:space="preserve"> M</w:t>
                                  </w:r>
                                  <w:r w:rsidR="007D0F2A">
                                    <w:rPr>
                                      <w:rFonts w:ascii="Comic Sans MS" w:hAnsi="Comic Sans MS"/>
                                      <w:i/>
                                      <w:noProof/>
                                      <w:sz w:val="20"/>
                                      <w:szCs w:val="20"/>
                                      <w:lang w:val="af-ZA"/>
                                    </w:rPr>
                                    <w:t>ei</w:t>
                                  </w:r>
                                  <w:r w:rsidR="00931714" w:rsidRPr="007D0F2A">
                                    <w:rPr>
                                      <w:rFonts w:ascii="Comic Sans MS" w:hAnsi="Comic Sans MS"/>
                                      <w:i/>
                                      <w:noProof/>
                                      <w:sz w:val="20"/>
                                      <w:szCs w:val="20"/>
                                      <w:lang w:val="af-ZA"/>
                                    </w:rPr>
                                    <w:t xml:space="preserve"> 2018</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5F6297">
              <w:trPr>
                <w:trHeight w:val="33"/>
                <w:tblCellSpacing w:w="0" w:type="dxa"/>
              </w:trPr>
              <w:tc>
                <w:tcPr>
                  <w:tcW w:w="10946"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116B96" w:rsidRDefault="00D42FAB" w:rsidP="00B26374">
            <w:pPr>
              <w:spacing w:after="0"/>
              <w:rPr>
                <w:rFonts w:ascii="Arial" w:eastAsia="Times New Roman" w:hAnsi="Arial" w:cs="Arial"/>
                <w:b/>
                <w:i/>
                <w:color w:val="181818"/>
                <w:sz w:val="20"/>
                <w:szCs w:val="20"/>
                <w:lang w:val="en-US"/>
              </w:rPr>
            </w:pPr>
            <w:r w:rsidRPr="00726C93">
              <w:rPr>
                <w:rFonts w:ascii="Arial" w:eastAsia="Times New Roman" w:hAnsi="Arial" w:cs="Arial"/>
                <w:b/>
                <w:i/>
                <w:color w:val="181818"/>
                <w:sz w:val="20"/>
                <w:szCs w:val="20"/>
                <w:lang w:val="en-US"/>
              </w:rPr>
              <w:t>“</w:t>
            </w:r>
            <w:r w:rsidR="002D1063">
              <w:rPr>
                <w:rFonts w:ascii="Arial" w:eastAsia="Times New Roman" w:hAnsi="Arial" w:cs="Arial"/>
                <w:b/>
                <w:i/>
                <w:color w:val="181818"/>
                <w:sz w:val="20"/>
                <w:szCs w:val="20"/>
                <w:lang w:val="en-US"/>
              </w:rPr>
              <w:t>Nobody is superior, nobody is inferior, but nobody is equal either. People are simply unique, incomparable. You are you, I am I.” Osho</w:t>
            </w:r>
          </w:p>
          <w:p w:rsidR="002D1063" w:rsidRPr="002D1063" w:rsidRDefault="002D1063" w:rsidP="00B26374">
            <w:pPr>
              <w:spacing w:after="0"/>
              <w:rPr>
                <w:rFonts w:ascii="Arial" w:eastAsia="Times New Roman" w:hAnsi="Arial" w:cs="Arial"/>
                <w:b/>
                <w:i/>
                <w:color w:val="181818"/>
                <w:sz w:val="6"/>
                <w:szCs w:val="6"/>
                <w:lang w:val="en-US"/>
              </w:rPr>
            </w:pPr>
          </w:p>
          <w:p w:rsidR="007D0F2A" w:rsidRDefault="007D0F2A" w:rsidP="00E02C62">
            <w:pPr>
              <w:spacing w:after="0"/>
              <w:jc w:val="both"/>
              <w:rPr>
                <w:rFonts w:ascii="Arial" w:eastAsia="Times New Roman" w:hAnsi="Arial" w:cs="Arial"/>
                <w:b/>
                <w:color w:val="0070C0"/>
                <w:u w:val="single"/>
                <w:lang w:val="en-US"/>
              </w:rPr>
            </w:pPr>
          </w:p>
          <w:p w:rsidR="007D0F2A" w:rsidRPr="00CF4E3D" w:rsidRDefault="007D0F2A" w:rsidP="007D0F2A">
            <w:pPr>
              <w:spacing w:after="0"/>
              <w:jc w:val="both"/>
              <w:rPr>
                <w:rFonts w:ascii="Arial" w:eastAsiaTheme="minorHAnsi" w:hAnsi="Arial" w:cs="Arial"/>
                <w:b/>
                <w:noProof/>
                <w:color w:val="0070C0"/>
                <w:u w:val="single"/>
                <w:lang w:val="af-ZA"/>
              </w:rPr>
            </w:pPr>
            <w:r w:rsidRPr="00CF4E3D">
              <w:rPr>
                <w:rFonts w:ascii="Arial" w:eastAsiaTheme="minorHAnsi" w:hAnsi="Arial" w:cs="Arial"/>
                <w:b/>
                <w:noProof/>
                <w:color w:val="0070C0"/>
                <w:u w:val="single"/>
                <w:lang w:val="af-ZA"/>
              </w:rPr>
              <w:t>2018 UITVOERGEHALTE STANDAARDE IS AFGEKONDIG</w:t>
            </w:r>
          </w:p>
          <w:p w:rsidR="007D0F2A" w:rsidRDefault="007D0F2A" w:rsidP="007D0F2A">
            <w:pPr>
              <w:spacing w:after="0"/>
              <w:jc w:val="both"/>
              <w:rPr>
                <w:rFonts w:ascii="Arial" w:eastAsiaTheme="minorHAnsi" w:hAnsi="Arial" w:cs="Arial"/>
                <w:noProof/>
                <w:lang w:val="af-ZA"/>
              </w:rPr>
            </w:pPr>
            <w:r w:rsidRPr="007D0F2A">
              <w:rPr>
                <w:rFonts w:ascii="Arial" w:eastAsiaTheme="minorHAnsi" w:hAnsi="Arial" w:cs="Arial"/>
                <w:noProof/>
                <w:lang w:val="af-ZA"/>
              </w:rPr>
              <w:t xml:space="preserve">DAFF se Direktoraat Voedselveiligheid en </w:t>
            </w:r>
            <w:r w:rsidR="00D21D56">
              <w:rPr>
                <w:rFonts w:ascii="Arial" w:eastAsiaTheme="minorHAnsi" w:hAnsi="Arial" w:cs="Arial"/>
                <w:noProof/>
                <w:lang w:val="af-ZA"/>
              </w:rPr>
              <w:t>Gehalte</w:t>
            </w:r>
            <w:r w:rsidRPr="007D0F2A">
              <w:rPr>
                <w:rFonts w:ascii="Arial" w:eastAsiaTheme="minorHAnsi" w:hAnsi="Arial" w:cs="Arial"/>
                <w:noProof/>
                <w:lang w:val="af-ZA"/>
              </w:rPr>
              <w:t>versekering is verantwoordelik vir die opstel en</w:t>
            </w:r>
            <w:r w:rsidR="00D21D56">
              <w:rPr>
                <w:rFonts w:ascii="Arial" w:eastAsiaTheme="minorHAnsi" w:hAnsi="Arial" w:cs="Arial"/>
                <w:noProof/>
                <w:lang w:val="af-ZA"/>
              </w:rPr>
              <w:t xml:space="preserve"> implementering van die uitvoer</w:t>
            </w:r>
            <w:r w:rsidRPr="007D0F2A">
              <w:rPr>
                <w:rFonts w:ascii="Arial" w:eastAsiaTheme="minorHAnsi" w:hAnsi="Arial" w:cs="Arial"/>
                <w:noProof/>
                <w:lang w:val="af-ZA"/>
              </w:rPr>
              <w:t xml:space="preserve">gehalte standaarde vir sitrus. Op 11 Mei 2018 het die pas afgekondigde sitrus uitvoerstandaarde vir die 2018 seisoen in werking getree. Die gewysigde standaarde kan gevind word by die volgende skakel: </w:t>
            </w:r>
            <w:hyperlink r:id="rId7" w:history="1">
              <w:r w:rsidRPr="007D0F2A">
                <w:rPr>
                  <w:rStyle w:val="Hyperlink"/>
                  <w:rFonts w:ascii="Arial" w:hAnsi="Arial" w:cs="Arial"/>
                  <w:noProof/>
                  <w:lang w:val="af-ZA"/>
                </w:rPr>
                <w:t>http://www.daff.gov.za/daffweb3/Branches/Agricultural-Production-Health-Food-Safety/Food-Safety-Quality-Assurance/Export-Standards/Citrus-and-Subtropical-Fruit/Citrus-fruit</w:t>
              </w:r>
            </w:hyperlink>
            <w:r w:rsidRPr="007D0F2A">
              <w:rPr>
                <w:rFonts w:ascii="Arial" w:eastAsiaTheme="minorHAnsi" w:hAnsi="Arial" w:cs="Arial"/>
                <w:noProof/>
                <w:lang w:val="af-ZA"/>
              </w:rPr>
              <w:t>.</w:t>
            </w:r>
            <w:r w:rsidR="00D21D56">
              <w:rPr>
                <w:rFonts w:ascii="Arial" w:eastAsiaTheme="minorHAnsi" w:hAnsi="Arial" w:cs="Arial"/>
                <w:noProof/>
                <w:lang w:val="af-ZA"/>
              </w:rPr>
              <w:t xml:space="preserve"> </w:t>
            </w:r>
            <w:r w:rsidRPr="007D0F2A">
              <w:rPr>
                <w:rFonts w:ascii="Arial" w:eastAsiaTheme="minorHAnsi" w:hAnsi="Arial" w:cs="Arial"/>
                <w:noProof/>
                <w:lang w:val="af-ZA"/>
              </w:rPr>
              <w:t>Die belangrikste veranderinge aan die uitvoerstandaard is: 1) die insluiting van nuwe kultivars in die tabelle van kultivarname en hul karton aanduidings, 2) toleransie vir mandar</w:t>
            </w:r>
            <w:r w:rsidR="00D21D56">
              <w:rPr>
                <w:rFonts w:ascii="Arial" w:eastAsiaTheme="minorHAnsi" w:hAnsi="Arial" w:cs="Arial"/>
                <w:noProof/>
                <w:lang w:val="af-ZA"/>
              </w:rPr>
              <w:t>yne</w:t>
            </w:r>
            <w:r w:rsidRPr="007D0F2A">
              <w:rPr>
                <w:rFonts w:ascii="Arial" w:eastAsiaTheme="minorHAnsi" w:hAnsi="Arial" w:cs="Arial"/>
                <w:noProof/>
                <w:lang w:val="af-ZA"/>
              </w:rPr>
              <w:t xml:space="preserve"> / sagte sitrus na die VSA, en 3) vrugtegrootte vereistes vir FE1 pomelo's.</w:t>
            </w:r>
          </w:p>
          <w:p w:rsidR="007D0F2A" w:rsidRPr="007D0F2A" w:rsidRDefault="007D0F2A" w:rsidP="007D0F2A">
            <w:pPr>
              <w:spacing w:after="0"/>
              <w:jc w:val="both"/>
              <w:rPr>
                <w:rFonts w:ascii="Arial" w:hAnsi="Arial" w:cs="Arial"/>
                <w:b/>
                <w:noProof/>
                <w:color w:val="0070C0"/>
                <w:u w:val="single"/>
                <w:lang w:val="af-ZA"/>
              </w:rPr>
            </w:pPr>
            <w:r w:rsidRPr="007D0F2A">
              <w:rPr>
                <w:rFonts w:ascii="Arial" w:hAnsi="Arial" w:cs="Arial"/>
                <w:b/>
                <w:noProof/>
                <w:color w:val="0070C0"/>
                <w:u w:val="single"/>
                <w:lang w:val="af-ZA"/>
              </w:rPr>
              <w:t>UITVOERBESTEMMING VAN SUIDER-AFRIKA SE SITRUS</w:t>
            </w:r>
          </w:p>
          <w:p w:rsidR="007D0F2A" w:rsidRDefault="007D0F2A" w:rsidP="007D0F2A">
            <w:pPr>
              <w:spacing w:after="0"/>
              <w:jc w:val="both"/>
              <w:rPr>
                <w:rFonts w:ascii="Arial" w:hAnsi="Arial" w:cs="Arial"/>
                <w:noProof/>
                <w:lang w:val="af-ZA"/>
              </w:rPr>
            </w:pPr>
            <w:r w:rsidRPr="007D0F2A">
              <w:rPr>
                <w:rFonts w:ascii="Arial" w:hAnsi="Arial" w:cs="Arial"/>
                <w:noProof/>
                <w:lang w:val="af-ZA"/>
              </w:rPr>
              <w:t>In die jaar 2005 het 38% van suider</w:t>
            </w:r>
            <w:r w:rsidR="00D21D56">
              <w:rPr>
                <w:rFonts w:ascii="Arial" w:hAnsi="Arial" w:cs="Arial"/>
                <w:noProof/>
                <w:lang w:val="af-ZA"/>
              </w:rPr>
              <w:t>-</w:t>
            </w:r>
            <w:r w:rsidRPr="007D0F2A">
              <w:rPr>
                <w:rFonts w:ascii="Arial" w:hAnsi="Arial" w:cs="Arial"/>
                <w:noProof/>
                <w:lang w:val="af-ZA"/>
              </w:rPr>
              <w:t xml:space="preserve">Afrika se sitrusuitvoere na Wes-Europa gegaan en 14% na die VK. Teen 2010 het Wes-Europa tot 35% gedaal en die VK tot 11%. Verlede jaar was dit onderskeidelik 33% en 10%. Die gekombineerde volume na die EU het van 52% tot 43% verminder. Oos-Europa (meestal Rusland) het tussen 2005 en 2010 vanaf 7 tot 15% toegeneem, voordat dit verlede jaar tot 9% gedaal het. Die Midde-Ooste het aanvanklik gegroei van 2005 tot 2010 (17 tot 21%), voordat dit in 2017 tot 18% gedaal het. Die grootste groei het in Asië plaasgevind - alhoewel daar ‘n daling van 17% tot 14% tussen 2005 en 2010 was, was daar groei </w:t>
            </w:r>
            <w:r w:rsidR="00D21D56">
              <w:rPr>
                <w:rFonts w:ascii="Arial" w:hAnsi="Arial" w:cs="Arial"/>
                <w:noProof/>
                <w:lang w:val="af-ZA"/>
              </w:rPr>
              <w:t>tot</w:t>
            </w:r>
            <w:bookmarkStart w:id="0" w:name="_GoBack"/>
            <w:bookmarkEnd w:id="0"/>
            <w:r w:rsidRPr="007D0F2A">
              <w:rPr>
                <w:rFonts w:ascii="Arial" w:hAnsi="Arial" w:cs="Arial"/>
                <w:noProof/>
                <w:lang w:val="af-ZA"/>
              </w:rPr>
              <w:t xml:space="preserve">  2017 teen 24%. Die Noord-Amerikaanse aandeel bly staties; 7% in 2005, 5% in 2010 en 6% verlede jaar.</w:t>
            </w:r>
          </w:p>
          <w:p w:rsidR="00275ADC" w:rsidRPr="007D0F2A" w:rsidRDefault="00275ADC" w:rsidP="007D0F2A">
            <w:pPr>
              <w:spacing w:after="0"/>
              <w:jc w:val="both"/>
              <w:rPr>
                <w:rFonts w:ascii="Arial" w:hAnsi="Arial" w:cs="Arial"/>
                <w:noProof/>
                <w:lang w:val="af-ZA"/>
              </w:rPr>
            </w:pPr>
          </w:p>
          <w:p w:rsidR="00B578F6" w:rsidRDefault="00E02C62" w:rsidP="005153A6">
            <w:pPr>
              <w:rPr>
                <w:rFonts w:ascii="Arial" w:eastAsia="Times New Roman" w:hAnsi="Arial" w:cs="Arial"/>
                <w:color w:val="0070C0"/>
                <w:lang w:val="en-US"/>
              </w:rPr>
            </w:pPr>
            <w:r>
              <w:rPr>
                <w:noProof/>
                <w:lang w:val="en-US"/>
              </w:rPr>
              <w:drawing>
                <wp:inline distT="0" distB="0" distL="0" distR="0" wp14:anchorId="307C693C" wp14:editId="2FDDE183">
                  <wp:extent cx="2032000" cy="1462050"/>
                  <wp:effectExtent l="0" t="0" r="635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190" cy="1567955"/>
                          </a:xfrm>
                          <a:prstGeom prst="rect">
                            <a:avLst/>
                          </a:prstGeom>
                          <a:noFill/>
                        </pic:spPr>
                      </pic:pic>
                    </a:graphicData>
                  </a:graphic>
                </wp:inline>
              </w:drawing>
            </w:r>
            <w:r>
              <w:rPr>
                <w:noProof/>
                <w:lang w:val="en-US"/>
              </w:rPr>
              <w:drawing>
                <wp:inline distT="0" distB="0" distL="0" distR="0" wp14:anchorId="702D34A1" wp14:editId="114907EA">
                  <wp:extent cx="2159000" cy="147641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8121" cy="1544196"/>
                          </a:xfrm>
                          <a:prstGeom prst="rect">
                            <a:avLst/>
                          </a:prstGeom>
                          <a:noFill/>
                        </pic:spPr>
                      </pic:pic>
                    </a:graphicData>
                  </a:graphic>
                </wp:inline>
              </w:drawing>
            </w:r>
            <w:r>
              <w:rPr>
                <w:noProof/>
                <w:lang w:val="en-US"/>
              </w:rPr>
              <w:drawing>
                <wp:inline distT="0" distB="0" distL="0" distR="0" wp14:anchorId="4C85E78F" wp14:editId="48112779">
                  <wp:extent cx="2260600" cy="144872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8194" cy="1543315"/>
                          </a:xfrm>
                          <a:prstGeom prst="rect">
                            <a:avLst/>
                          </a:prstGeom>
                          <a:noFill/>
                        </pic:spPr>
                      </pic:pic>
                    </a:graphicData>
                  </a:graphic>
                </wp:inline>
              </w:drawing>
            </w:r>
          </w:p>
          <w:p w:rsidR="00275ADC" w:rsidRPr="00275ADC" w:rsidRDefault="00275ADC" w:rsidP="00275ADC">
            <w:pPr>
              <w:spacing w:after="0"/>
              <w:jc w:val="both"/>
              <w:rPr>
                <w:rFonts w:ascii="Arial" w:eastAsiaTheme="minorHAnsi" w:hAnsi="Arial" w:cs="Arial"/>
                <w:b/>
                <w:noProof/>
                <w:color w:val="0070C0"/>
                <w:u w:val="single"/>
                <w:lang w:val="af-ZA"/>
              </w:rPr>
            </w:pPr>
            <w:r w:rsidRPr="00275ADC">
              <w:rPr>
                <w:rFonts w:ascii="Arial" w:eastAsiaTheme="minorHAnsi" w:hAnsi="Arial" w:cs="Arial"/>
                <w:b/>
                <w:noProof/>
                <w:color w:val="0070C0"/>
                <w:u w:val="single"/>
                <w:lang w:val="af-ZA"/>
              </w:rPr>
              <w:t>GEPAK EN VERSKEEP</w:t>
            </w:r>
          </w:p>
          <w:p w:rsidR="00275ADC" w:rsidRPr="00275ADC" w:rsidRDefault="00275ADC" w:rsidP="00275ADC">
            <w:pPr>
              <w:spacing w:after="0"/>
              <w:jc w:val="both"/>
              <w:rPr>
                <w:rFonts w:ascii="Arial" w:eastAsiaTheme="minorHAnsi" w:hAnsi="Arial" w:cs="Arial"/>
                <w:noProof/>
                <w:lang w:val="af-ZA"/>
              </w:rPr>
            </w:pPr>
            <w:r w:rsidRPr="00275ADC">
              <w:rPr>
                <w:rFonts w:ascii="Arial" w:eastAsiaTheme="minorHAnsi" w:hAnsi="Arial" w:cs="Arial"/>
                <w:noProof/>
                <w:lang w:val="af-ZA"/>
              </w:rPr>
              <w:t>Tien miljoen kartonne (150 000 ton) sitrus is nou reeds verskeep - met suurlemoene wat verantwoordelik is vir 50% van die volume wat verskeep is</w:t>
            </w:r>
            <w:r>
              <w:rPr>
                <w:rFonts w:ascii="Arial" w:eastAsiaTheme="minorHAnsi" w:hAnsi="Arial" w:cs="Arial"/>
                <w:noProof/>
                <w:lang w:val="af-ZA"/>
              </w:rPr>
              <w:t>.</w:t>
            </w:r>
            <w:r w:rsidRPr="00275ADC">
              <w:rPr>
                <w:rFonts w:ascii="Arial" w:eastAsiaTheme="minorHAnsi" w:hAnsi="Arial" w:cs="Arial"/>
                <w:noProof/>
                <w:lang w:val="af-ZA"/>
              </w:rPr>
              <w:t xml:space="preserve"> Midde-Ooste is die voorste bestemming met 47%, gevolg deur EU 17%, Asië 16% en Rusland 14%. Pomelo's en sagte sitrus dra elk 25% by, met onbeduidende volumes navels wat tot op datum verskeep is. Pomelo's is meestal na die EU (57%) en Asië (31%) gestuur. Sagte sitrus is na die EU (62%) en Rusland (22%) verskeep.</w:t>
            </w:r>
            <w:r>
              <w:rPr>
                <w:rFonts w:ascii="Arial" w:eastAsiaTheme="minorHAnsi" w:hAnsi="Arial" w:cs="Arial"/>
                <w:noProof/>
                <w:lang w:val="af-ZA"/>
              </w:rPr>
              <w:t xml:space="preserve"> </w:t>
            </w:r>
            <w:r w:rsidRPr="00275ADC">
              <w:rPr>
                <w:rFonts w:ascii="Arial" w:eastAsiaTheme="minorHAnsi" w:hAnsi="Arial" w:cs="Arial"/>
                <w:noProof/>
                <w:lang w:val="af-ZA"/>
              </w:rPr>
              <w:t>Reën in die noordelike en oostelike streke van die sitrusbedryf sou die afgelope week se pakkery vertraag het.</w:t>
            </w:r>
          </w:p>
          <w:p w:rsidR="0024350F" w:rsidRPr="005153A6" w:rsidRDefault="0024350F" w:rsidP="001001B8">
            <w:pPr>
              <w:spacing w:after="0"/>
              <w:jc w:val="both"/>
              <w:rPr>
                <w:rFonts w:ascii="Arial" w:eastAsia="Times New Roman" w:hAnsi="Arial" w:cs="Arial"/>
                <w:lang w:val="en-US"/>
              </w:rPr>
            </w:pPr>
          </w:p>
          <w:tbl>
            <w:tblPr>
              <w:tblpPr w:leftFromText="180" w:rightFromText="180" w:vertAnchor="text" w:horzAnchor="margin" w:tblpX="-176" w:tblpY="20"/>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028"/>
              <w:gridCol w:w="990"/>
              <w:gridCol w:w="900"/>
              <w:gridCol w:w="1150"/>
              <w:gridCol w:w="1134"/>
              <w:gridCol w:w="1226"/>
              <w:gridCol w:w="1260"/>
              <w:gridCol w:w="799"/>
            </w:tblGrid>
            <w:tr w:rsidR="00A82A0A" w:rsidRPr="00275ADC" w:rsidTr="00275ADC">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A82A0A" w:rsidRPr="00275ADC" w:rsidRDefault="009201C1" w:rsidP="00A82A0A">
                  <w:pPr>
                    <w:spacing w:after="0" w:line="240" w:lineRule="auto"/>
                    <w:ind w:left="337" w:hanging="337"/>
                    <w:rPr>
                      <w:rFonts w:ascii="Arial" w:hAnsi="Arial" w:cs="Arial"/>
                      <w:noProof/>
                      <w:sz w:val="18"/>
                      <w:szCs w:val="18"/>
                      <w:lang w:val="af-ZA"/>
                    </w:rPr>
                  </w:pPr>
                  <w:bookmarkStart w:id="1" w:name="OLE_LINK1"/>
                  <w:bookmarkStart w:id="2" w:name="OLE_LINK2"/>
                  <w:r w:rsidRPr="00275ADC">
                    <w:rPr>
                      <w:rFonts w:ascii="Arial" w:hAnsi="Arial" w:cs="Arial"/>
                      <w:noProof/>
                      <w:sz w:val="18"/>
                      <w:szCs w:val="18"/>
                      <w:lang w:val="af-ZA"/>
                    </w:rPr>
                    <w:t>To</w:t>
                  </w:r>
                  <w:r w:rsidR="00275ADC">
                    <w:rPr>
                      <w:rFonts w:ascii="Arial" w:hAnsi="Arial" w:cs="Arial"/>
                      <w:noProof/>
                      <w:sz w:val="18"/>
                      <w:szCs w:val="18"/>
                      <w:lang w:val="af-ZA"/>
                    </w:rPr>
                    <w:t>t</w:t>
                  </w:r>
                  <w:r w:rsidRPr="00275ADC">
                    <w:rPr>
                      <w:rFonts w:ascii="Arial" w:hAnsi="Arial" w:cs="Arial"/>
                      <w:noProof/>
                      <w:sz w:val="18"/>
                      <w:szCs w:val="18"/>
                      <w:lang w:val="af-ZA"/>
                    </w:rPr>
                    <w:t xml:space="preserve"> Week 19</w:t>
                  </w:r>
                </w:p>
                <w:p w:rsidR="00A82A0A" w:rsidRPr="00275ADC" w:rsidRDefault="00A82A0A" w:rsidP="00275ADC">
                  <w:pPr>
                    <w:spacing w:after="0" w:line="240" w:lineRule="auto"/>
                    <w:rPr>
                      <w:rFonts w:ascii="Arial" w:hAnsi="Arial" w:cs="Arial"/>
                      <w:noProof/>
                      <w:sz w:val="18"/>
                      <w:szCs w:val="18"/>
                      <w:lang w:val="af-ZA"/>
                    </w:rPr>
                  </w:pPr>
                  <w:r w:rsidRPr="00275ADC">
                    <w:rPr>
                      <w:rFonts w:ascii="Arial" w:hAnsi="Arial" w:cs="Arial"/>
                      <w:noProof/>
                      <w:sz w:val="18"/>
                      <w:szCs w:val="18"/>
                      <w:lang w:val="af-ZA"/>
                    </w:rPr>
                    <w:t>Mil</w:t>
                  </w:r>
                  <w:r w:rsidR="00275ADC">
                    <w:rPr>
                      <w:rFonts w:ascii="Arial" w:hAnsi="Arial" w:cs="Arial"/>
                      <w:noProof/>
                      <w:sz w:val="18"/>
                      <w:szCs w:val="18"/>
                      <w:lang w:val="af-ZA"/>
                    </w:rPr>
                    <w:t xml:space="preserve">joen </w:t>
                  </w:r>
                  <w:r w:rsidRPr="00275ADC">
                    <w:rPr>
                      <w:rFonts w:ascii="Arial" w:hAnsi="Arial" w:cs="Arial"/>
                      <w:noProof/>
                      <w:sz w:val="18"/>
                      <w:szCs w:val="18"/>
                      <w:lang w:val="af-ZA"/>
                    </w:rPr>
                    <w:t xml:space="preserve">15 Kg </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75ADC" w:rsidRDefault="00275ADC"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A82A0A" w:rsidRPr="00275ADC">
                    <w:rPr>
                      <w:rFonts w:ascii="Arial" w:hAnsi="Arial" w:cs="Arial"/>
                      <w:noProof/>
                      <w:sz w:val="18"/>
                      <w:szCs w:val="18"/>
                      <w:lang w:val="af-ZA"/>
                    </w:rPr>
                    <w:t xml:space="preserve"> </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75ADC" w:rsidRDefault="00275ADC"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90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A82A0A" w:rsidRPr="00275ADC" w:rsidRDefault="00275ADC"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115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75ADC" w:rsidRDefault="00275ADC"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A82A0A" w:rsidRPr="00275ADC" w:rsidRDefault="00275ADC"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75ADC" w:rsidRDefault="00275ADC"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Aanvanklike Skatting</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75ADC" w:rsidRDefault="00275ADC" w:rsidP="00A82A0A">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799" w:type="dxa"/>
                  <w:tcBorders>
                    <w:top w:val="single" w:sz="4" w:space="0" w:color="000000"/>
                    <w:left w:val="single" w:sz="4" w:space="0" w:color="000000"/>
                    <w:bottom w:val="single" w:sz="4" w:space="0" w:color="000000"/>
                    <w:right w:val="single" w:sz="4" w:space="0" w:color="000000"/>
                  </w:tcBorders>
                  <w:shd w:val="clear" w:color="auto" w:fill="E6E6E6"/>
                </w:tcPr>
                <w:p w:rsidR="00A82A0A" w:rsidRPr="00275ADC" w:rsidRDefault="00A82A0A" w:rsidP="00A82A0A">
                  <w:pPr>
                    <w:spacing w:after="0" w:line="240" w:lineRule="auto"/>
                    <w:jc w:val="right"/>
                    <w:rPr>
                      <w:rFonts w:ascii="Arial" w:hAnsi="Arial" w:cs="Arial"/>
                      <w:noProof/>
                      <w:sz w:val="18"/>
                      <w:szCs w:val="18"/>
                      <w:lang w:val="af-ZA"/>
                    </w:rPr>
                  </w:pPr>
                  <w:r w:rsidRPr="00275ADC">
                    <w:rPr>
                      <w:rFonts w:ascii="Arial" w:hAnsi="Arial" w:cs="Arial"/>
                      <w:noProof/>
                      <w:sz w:val="18"/>
                      <w:szCs w:val="18"/>
                      <w:lang w:val="af-ZA"/>
                    </w:rPr>
                    <w:t>Fin</w:t>
                  </w:r>
                  <w:r w:rsidR="00275ADC">
                    <w:rPr>
                      <w:rFonts w:ascii="Arial" w:hAnsi="Arial" w:cs="Arial"/>
                      <w:noProof/>
                      <w:sz w:val="18"/>
                      <w:szCs w:val="18"/>
                      <w:lang w:val="af-ZA"/>
                    </w:rPr>
                    <w:t>a</w:t>
                  </w:r>
                  <w:r w:rsidRPr="00275ADC">
                    <w:rPr>
                      <w:rFonts w:ascii="Arial" w:hAnsi="Arial" w:cs="Arial"/>
                      <w:noProof/>
                      <w:sz w:val="18"/>
                      <w:szCs w:val="18"/>
                      <w:lang w:val="af-ZA"/>
                    </w:rPr>
                    <w:t xml:space="preserve">al </w:t>
                  </w:r>
                  <w:r w:rsidR="00275ADC">
                    <w:rPr>
                      <w:rFonts w:ascii="Arial" w:hAnsi="Arial" w:cs="Arial"/>
                      <w:noProof/>
                      <w:sz w:val="18"/>
                      <w:szCs w:val="18"/>
                      <w:lang w:val="af-ZA"/>
                    </w:rPr>
                    <w:t>Gepak</w:t>
                  </w:r>
                </w:p>
                <w:p w:rsidR="00A82A0A" w:rsidRPr="00275ADC" w:rsidRDefault="00A82A0A" w:rsidP="00A82A0A">
                  <w:pPr>
                    <w:spacing w:after="0" w:line="240" w:lineRule="auto"/>
                    <w:jc w:val="right"/>
                    <w:rPr>
                      <w:rFonts w:ascii="Arial" w:hAnsi="Arial" w:cs="Arial"/>
                      <w:noProof/>
                      <w:sz w:val="18"/>
                      <w:szCs w:val="18"/>
                      <w:lang w:val="af-ZA"/>
                    </w:rPr>
                  </w:pPr>
                </w:p>
              </w:tc>
            </w:tr>
            <w:tr w:rsidR="00A82A0A" w:rsidRPr="00275ADC" w:rsidTr="00275ADC">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275ADC" w:rsidRDefault="00275ADC" w:rsidP="00275ADC">
                  <w:pPr>
                    <w:spacing w:after="0" w:line="240" w:lineRule="auto"/>
                    <w:rPr>
                      <w:rFonts w:ascii="Arial" w:hAnsi="Arial" w:cs="Arial"/>
                      <w:b/>
                      <w:noProof/>
                      <w:sz w:val="18"/>
                      <w:szCs w:val="18"/>
                      <w:lang w:val="af-ZA"/>
                    </w:rPr>
                  </w:pPr>
                  <w:r>
                    <w:rPr>
                      <w:rFonts w:ascii="Arial" w:hAnsi="Arial" w:cs="Arial"/>
                      <w:b/>
                      <w:noProof/>
                      <w:sz w:val="18"/>
                      <w:szCs w:val="18"/>
                      <w:lang w:val="af-ZA"/>
                    </w:rPr>
                    <w:t>BRON</w:t>
                  </w:r>
                  <w:r w:rsidR="00A82A0A" w:rsidRPr="00275ADC">
                    <w:rPr>
                      <w:rFonts w:ascii="Arial" w:hAnsi="Arial" w:cs="Arial"/>
                      <w:b/>
                      <w:noProof/>
                      <w:sz w:val="18"/>
                      <w:szCs w:val="18"/>
                      <w:lang w:val="af-ZA"/>
                    </w:rPr>
                    <w:t>: PPECB</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2016</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2017</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2018</w:t>
                  </w:r>
                </w:p>
              </w:tc>
              <w:tc>
                <w:tcPr>
                  <w:tcW w:w="115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2018</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2018</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2018</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2017</w:t>
                  </w:r>
                </w:p>
              </w:tc>
            </w:tr>
            <w:tr w:rsidR="00A82A0A" w:rsidRPr="00275ADC" w:rsidTr="00275ADC">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A82A0A" w:rsidRPr="00275ADC" w:rsidRDefault="00275ADC" w:rsidP="00275ADC">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75ADC" w:rsidRDefault="0024350F"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3.3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75ADC" w:rsidRDefault="0024350F"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5.3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75ADC" w:rsidRDefault="0024350F"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4.3 m</w:t>
                  </w:r>
                </w:p>
              </w:tc>
              <w:tc>
                <w:tcPr>
                  <w:tcW w:w="115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75ADC" w:rsidRDefault="009201C1"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75ADC" w:rsidRDefault="009201C1"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2.4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right"/>
                    <w:rPr>
                      <w:rFonts w:ascii="Arial" w:hAnsi="Arial" w:cs="Arial"/>
                      <w:noProof/>
                      <w:sz w:val="18"/>
                      <w:szCs w:val="18"/>
                      <w:lang w:val="af-ZA"/>
                    </w:rPr>
                  </w:pPr>
                  <w:r w:rsidRPr="00275ADC">
                    <w:rPr>
                      <w:rFonts w:ascii="Arial" w:hAnsi="Arial" w:cs="Arial"/>
                      <w:noProof/>
                      <w:sz w:val="18"/>
                      <w:szCs w:val="18"/>
                      <w:lang w:val="af-ZA"/>
                    </w:rPr>
                    <w:t>16.8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75ADC" w:rsidRDefault="00C5592E"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16.5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right"/>
                    <w:rPr>
                      <w:rFonts w:ascii="Arial" w:hAnsi="Arial" w:cs="Arial"/>
                      <w:noProof/>
                      <w:sz w:val="18"/>
                      <w:szCs w:val="18"/>
                      <w:lang w:val="af-ZA"/>
                    </w:rPr>
                  </w:pPr>
                  <w:r w:rsidRPr="00275ADC">
                    <w:rPr>
                      <w:rFonts w:ascii="Arial" w:hAnsi="Arial" w:cs="Arial"/>
                      <w:noProof/>
                      <w:sz w:val="18"/>
                      <w:szCs w:val="18"/>
                      <w:lang w:val="af-ZA"/>
                    </w:rPr>
                    <w:t>15.7 m</w:t>
                  </w:r>
                </w:p>
              </w:tc>
            </w:tr>
            <w:tr w:rsidR="00A82A0A" w:rsidRPr="00275ADC" w:rsidTr="00275ADC">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275ADC" w:rsidRDefault="00275ADC" w:rsidP="00275ADC">
                  <w:pPr>
                    <w:spacing w:after="0" w:line="240" w:lineRule="auto"/>
                    <w:rPr>
                      <w:rFonts w:ascii="Arial" w:hAnsi="Arial" w:cs="Arial"/>
                      <w:noProof/>
                      <w:sz w:val="18"/>
                      <w:szCs w:val="18"/>
                      <w:lang w:val="af-ZA"/>
                    </w:rPr>
                  </w:pPr>
                  <w:r>
                    <w:rPr>
                      <w:rFonts w:ascii="Arial" w:hAnsi="Arial" w:cs="Arial"/>
                      <w:noProof/>
                      <w:sz w:val="18"/>
                      <w:szCs w:val="18"/>
                      <w:lang w:val="af-ZA"/>
                    </w:rPr>
                    <w:t>Sagte S</w:t>
                  </w:r>
                  <w:r w:rsidR="00A82A0A" w:rsidRPr="00275ADC">
                    <w:rPr>
                      <w:rFonts w:ascii="Arial" w:hAnsi="Arial" w:cs="Arial"/>
                      <w:noProof/>
                      <w:sz w:val="18"/>
                      <w:szCs w:val="18"/>
                      <w:lang w:val="af-ZA"/>
                    </w:rPr>
                    <w:t>itrus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75ADC" w:rsidRDefault="0024350F"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3.6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75ADC" w:rsidRDefault="0024350F"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2.8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75ADC" w:rsidRDefault="0024350F"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3.3 m</w:t>
                  </w:r>
                </w:p>
              </w:tc>
              <w:tc>
                <w:tcPr>
                  <w:tcW w:w="115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75ADC" w:rsidRDefault="009201C1"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2.2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75ADC" w:rsidRDefault="009201C1"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2.5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right"/>
                    <w:rPr>
                      <w:rFonts w:ascii="Arial" w:hAnsi="Arial" w:cs="Arial"/>
                      <w:noProof/>
                      <w:sz w:val="18"/>
                      <w:szCs w:val="18"/>
                      <w:lang w:val="af-ZA"/>
                    </w:rPr>
                  </w:pPr>
                  <w:r w:rsidRPr="00275ADC">
                    <w:rPr>
                      <w:rFonts w:ascii="Arial" w:hAnsi="Arial" w:cs="Arial"/>
                      <w:noProof/>
                      <w:sz w:val="18"/>
                      <w:szCs w:val="18"/>
                      <w:lang w:val="af-ZA"/>
                    </w:rPr>
                    <w:t>14.7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16.2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right"/>
                    <w:rPr>
                      <w:rFonts w:ascii="Arial" w:hAnsi="Arial" w:cs="Arial"/>
                      <w:noProof/>
                      <w:sz w:val="18"/>
                      <w:szCs w:val="18"/>
                      <w:lang w:val="af-ZA"/>
                    </w:rPr>
                  </w:pPr>
                  <w:r w:rsidRPr="00275ADC">
                    <w:rPr>
                      <w:rFonts w:ascii="Arial" w:hAnsi="Arial" w:cs="Arial"/>
                      <w:noProof/>
                      <w:sz w:val="18"/>
                      <w:szCs w:val="18"/>
                      <w:lang w:val="af-ZA"/>
                    </w:rPr>
                    <w:t>13.4 m</w:t>
                  </w:r>
                </w:p>
              </w:tc>
            </w:tr>
            <w:tr w:rsidR="00A82A0A" w:rsidRPr="00275ADC" w:rsidTr="00275ADC">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A82A0A" w:rsidRPr="00275ADC" w:rsidRDefault="00275ADC" w:rsidP="00275ADC">
                  <w:pPr>
                    <w:spacing w:after="0" w:line="240" w:lineRule="auto"/>
                    <w:rPr>
                      <w:rFonts w:ascii="Arial" w:hAnsi="Arial" w:cs="Arial"/>
                      <w:noProof/>
                      <w:sz w:val="18"/>
                      <w:szCs w:val="18"/>
                      <w:lang w:val="af-ZA"/>
                    </w:rPr>
                  </w:pPr>
                  <w:r>
                    <w:rPr>
                      <w:rFonts w:ascii="Arial" w:hAnsi="Arial" w:cs="Arial"/>
                      <w:noProof/>
                      <w:sz w:val="18"/>
                      <w:szCs w:val="18"/>
                      <w:lang w:val="af-ZA"/>
                    </w:rPr>
                    <w:t>Suurelemoene</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75ADC" w:rsidRDefault="0024350F"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5.4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75ADC" w:rsidRDefault="0024350F"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5.8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75ADC" w:rsidRDefault="0024350F"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6.7 m</w:t>
                  </w:r>
                </w:p>
              </w:tc>
              <w:tc>
                <w:tcPr>
                  <w:tcW w:w="115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75ADC" w:rsidRDefault="009201C1"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4.2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75ADC" w:rsidRDefault="009201C1"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5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right"/>
                    <w:rPr>
                      <w:rFonts w:ascii="Arial" w:hAnsi="Arial" w:cs="Arial"/>
                      <w:noProof/>
                      <w:sz w:val="18"/>
                      <w:szCs w:val="18"/>
                      <w:lang w:val="af-ZA"/>
                    </w:rPr>
                  </w:pPr>
                  <w:r w:rsidRPr="00275ADC">
                    <w:rPr>
                      <w:rFonts w:ascii="Arial" w:hAnsi="Arial" w:cs="Arial"/>
                      <w:noProof/>
                      <w:sz w:val="18"/>
                      <w:szCs w:val="18"/>
                      <w:lang w:val="af-ZA"/>
                    </w:rPr>
                    <w:t>20.6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75ADC" w:rsidRDefault="00C7514B"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20.3</w:t>
                  </w:r>
                  <w:r w:rsidR="00A82A0A" w:rsidRPr="00275ADC">
                    <w:rPr>
                      <w:rFonts w:ascii="Arial" w:hAnsi="Arial" w:cs="Arial"/>
                      <w:noProof/>
                      <w:sz w:val="18"/>
                      <w:szCs w:val="18"/>
                      <w:lang w:val="af-ZA"/>
                    </w:rPr>
                    <w:t xml:space="preserve">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right"/>
                    <w:rPr>
                      <w:rFonts w:ascii="Arial" w:hAnsi="Arial" w:cs="Arial"/>
                      <w:noProof/>
                      <w:sz w:val="18"/>
                      <w:szCs w:val="18"/>
                      <w:lang w:val="af-ZA"/>
                    </w:rPr>
                  </w:pPr>
                  <w:r w:rsidRPr="00275ADC">
                    <w:rPr>
                      <w:rFonts w:ascii="Arial" w:hAnsi="Arial" w:cs="Arial"/>
                      <w:noProof/>
                      <w:sz w:val="18"/>
                      <w:szCs w:val="18"/>
                      <w:lang w:val="af-ZA"/>
                    </w:rPr>
                    <w:t>19 m</w:t>
                  </w:r>
                </w:p>
              </w:tc>
            </w:tr>
            <w:tr w:rsidR="00A82A0A" w:rsidRPr="00275ADC" w:rsidTr="00275ADC">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A82A0A" w:rsidRPr="00275ADC" w:rsidRDefault="00275ADC" w:rsidP="00A82A0A">
                  <w:pPr>
                    <w:spacing w:after="0" w:line="240" w:lineRule="auto"/>
                    <w:rPr>
                      <w:rFonts w:ascii="Arial" w:hAnsi="Arial" w:cs="Arial"/>
                      <w:noProof/>
                      <w:sz w:val="18"/>
                      <w:szCs w:val="18"/>
                      <w:lang w:val="af-ZA"/>
                    </w:rPr>
                  </w:pPr>
                  <w:r>
                    <w:rPr>
                      <w:rFonts w:ascii="Arial" w:hAnsi="Arial" w:cs="Arial"/>
                      <w:noProof/>
                      <w:sz w:val="18"/>
                      <w:szCs w:val="18"/>
                      <w:lang w:val="af-ZA"/>
                    </w:rPr>
                    <w:t>Naw</w:t>
                  </w:r>
                  <w:r w:rsidR="00A82A0A" w:rsidRPr="00275ADC">
                    <w:rPr>
                      <w:rFonts w:ascii="Arial" w:hAnsi="Arial" w:cs="Arial"/>
                      <w:noProof/>
                      <w:sz w:val="18"/>
                      <w:szCs w:val="18"/>
                      <w:lang w:val="af-ZA"/>
                    </w:rPr>
                    <w:t>els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75ADC" w:rsidRDefault="0024350F"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2.5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75ADC" w:rsidRDefault="0024350F"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1.5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75ADC" w:rsidRDefault="0024350F"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1.2 m</w:t>
                  </w:r>
                </w:p>
              </w:tc>
              <w:tc>
                <w:tcPr>
                  <w:tcW w:w="115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75ADC" w:rsidRDefault="009201C1"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0.5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75ADC" w:rsidRDefault="009201C1"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0.4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right"/>
                    <w:rPr>
                      <w:rFonts w:ascii="Arial" w:hAnsi="Arial" w:cs="Arial"/>
                      <w:noProof/>
                      <w:sz w:val="18"/>
                      <w:szCs w:val="18"/>
                      <w:lang w:val="af-ZA"/>
                    </w:rPr>
                  </w:pPr>
                  <w:r w:rsidRPr="00275ADC">
                    <w:rPr>
                      <w:rFonts w:ascii="Arial" w:hAnsi="Arial" w:cs="Arial"/>
                      <w:noProof/>
                      <w:sz w:val="18"/>
                      <w:szCs w:val="18"/>
                      <w:lang w:val="af-ZA"/>
                    </w:rPr>
                    <w:t>25.7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25.7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right"/>
                    <w:rPr>
                      <w:rFonts w:ascii="Arial" w:hAnsi="Arial" w:cs="Arial"/>
                      <w:noProof/>
                      <w:sz w:val="18"/>
                      <w:szCs w:val="18"/>
                      <w:lang w:val="af-ZA"/>
                    </w:rPr>
                  </w:pPr>
                  <w:r w:rsidRPr="00275ADC">
                    <w:rPr>
                      <w:rFonts w:ascii="Arial" w:hAnsi="Arial" w:cs="Arial"/>
                      <w:noProof/>
                      <w:sz w:val="18"/>
                      <w:szCs w:val="18"/>
                      <w:lang w:val="af-ZA"/>
                    </w:rPr>
                    <w:t>21.1 m</w:t>
                  </w:r>
                </w:p>
              </w:tc>
            </w:tr>
            <w:tr w:rsidR="00A82A0A" w:rsidRPr="00275ADC" w:rsidTr="00275ADC">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A82A0A" w:rsidRPr="00275ADC" w:rsidRDefault="00A82A0A" w:rsidP="00A82A0A">
                  <w:pPr>
                    <w:spacing w:after="0" w:line="240" w:lineRule="auto"/>
                    <w:rPr>
                      <w:rFonts w:ascii="Arial" w:hAnsi="Arial" w:cs="Arial"/>
                      <w:noProof/>
                      <w:sz w:val="18"/>
                      <w:szCs w:val="18"/>
                      <w:lang w:val="af-ZA"/>
                    </w:rPr>
                  </w:pPr>
                  <w:r w:rsidRPr="00275ADC">
                    <w:rPr>
                      <w:rFonts w:ascii="Arial" w:hAnsi="Arial" w:cs="Arial"/>
                      <w:noProof/>
                      <w:sz w:val="18"/>
                      <w:szCs w:val="18"/>
                      <w:lang w:val="af-ZA"/>
                    </w:rPr>
                    <w:t>Valencia</w:t>
                  </w:r>
                  <w:r w:rsidR="00275ADC">
                    <w:rPr>
                      <w:rFonts w:ascii="Arial" w:hAnsi="Arial" w:cs="Arial"/>
                      <w:noProof/>
                      <w:sz w:val="18"/>
                      <w:szCs w:val="18"/>
                      <w:lang w:val="af-ZA"/>
                    </w:rPr>
                    <w:t>s</w:t>
                  </w:r>
                </w:p>
              </w:tc>
              <w:tc>
                <w:tcPr>
                  <w:tcW w:w="1028" w:type="dxa"/>
                  <w:tcBorders>
                    <w:top w:val="single" w:sz="4" w:space="0" w:color="000000"/>
                    <w:left w:val="single" w:sz="4" w:space="0" w:color="000000"/>
                    <w:bottom w:val="single" w:sz="4" w:space="0" w:color="000000"/>
                    <w:right w:val="single" w:sz="4" w:space="0" w:color="000000"/>
                  </w:tcBorders>
                  <w:shd w:val="clear" w:color="auto" w:fill="CCCCCC"/>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w:t>
                  </w:r>
                </w:p>
              </w:tc>
              <w:tc>
                <w:tcPr>
                  <w:tcW w:w="1150"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right"/>
                    <w:rPr>
                      <w:rFonts w:ascii="Arial" w:hAnsi="Arial" w:cs="Arial"/>
                      <w:noProof/>
                      <w:sz w:val="18"/>
                      <w:szCs w:val="18"/>
                      <w:lang w:val="af-ZA"/>
                    </w:rPr>
                  </w:pPr>
                  <w:r w:rsidRPr="00275ADC">
                    <w:rPr>
                      <w:rFonts w:ascii="Arial" w:hAnsi="Arial" w:cs="Arial"/>
                      <w:noProof/>
                      <w:sz w:val="18"/>
                      <w:szCs w:val="18"/>
                      <w:lang w:val="af-ZA"/>
                    </w:rPr>
                    <w:t>53.9 m</w:t>
                  </w:r>
                </w:p>
              </w:tc>
              <w:tc>
                <w:tcPr>
                  <w:tcW w:w="1260"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center"/>
                    <w:rPr>
                      <w:rFonts w:ascii="Arial" w:hAnsi="Arial" w:cs="Arial"/>
                      <w:noProof/>
                      <w:sz w:val="18"/>
                      <w:szCs w:val="18"/>
                      <w:lang w:val="af-ZA"/>
                    </w:rPr>
                  </w:pPr>
                  <w:r w:rsidRPr="00275ADC">
                    <w:rPr>
                      <w:rFonts w:ascii="Arial" w:hAnsi="Arial" w:cs="Arial"/>
                      <w:noProof/>
                      <w:sz w:val="18"/>
                      <w:szCs w:val="18"/>
                      <w:lang w:val="af-ZA"/>
                    </w:rPr>
                    <w:t>53.9 m</w:t>
                  </w:r>
                </w:p>
              </w:tc>
              <w:tc>
                <w:tcPr>
                  <w:tcW w:w="799" w:type="dxa"/>
                  <w:tcBorders>
                    <w:top w:val="single" w:sz="4" w:space="0" w:color="000000"/>
                    <w:left w:val="single" w:sz="4" w:space="0" w:color="000000"/>
                    <w:bottom w:val="single" w:sz="4" w:space="0" w:color="000000"/>
                    <w:right w:val="single" w:sz="4" w:space="0" w:color="000000"/>
                  </w:tcBorders>
                  <w:shd w:val="clear" w:color="auto" w:fill="E6E6E6"/>
                  <w:hideMark/>
                </w:tcPr>
                <w:p w:rsidR="00A82A0A" w:rsidRPr="00275ADC" w:rsidRDefault="00A82A0A" w:rsidP="00A82A0A">
                  <w:pPr>
                    <w:spacing w:after="0" w:line="240" w:lineRule="auto"/>
                    <w:jc w:val="right"/>
                    <w:rPr>
                      <w:rFonts w:ascii="Arial" w:hAnsi="Arial" w:cs="Arial"/>
                      <w:noProof/>
                      <w:sz w:val="18"/>
                      <w:szCs w:val="18"/>
                      <w:lang w:val="af-ZA"/>
                    </w:rPr>
                  </w:pPr>
                  <w:r w:rsidRPr="00275ADC">
                    <w:rPr>
                      <w:rFonts w:ascii="Arial" w:hAnsi="Arial" w:cs="Arial"/>
                      <w:noProof/>
                      <w:sz w:val="18"/>
                      <w:szCs w:val="18"/>
                      <w:lang w:val="af-ZA"/>
                    </w:rPr>
                    <w:t>53.8 m</w:t>
                  </w:r>
                </w:p>
              </w:tc>
            </w:tr>
            <w:tr w:rsidR="00464C33" w:rsidRPr="00275ADC" w:rsidTr="00275ADC">
              <w:trPr>
                <w:trHeight w:val="214"/>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275ADC" w:rsidRDefault="00A82A0A" w:rsidP="00A82A0A">
                  <w:pPr>
                    <w:spacing w:after="0" w:line="240" w:lineRule="auto"/>
                    <w:rPr>
                      <w:rFonts w:ascii="Arial" w:hAnsi="Arial" w:cs="Arial"/>
                      <w:b/>
                      <w:noProof/>
                      <w:sz w:val="18"/>
                      <w:szCs w:val="18"/>
                      <w:lang w:val="af-ZA"/>
                    </w:rPr>
                  </w:pPr>
                  <w:r w:rsidRPr="00275ADC">
                    <w:rPr>
                      <w:rFonts w:ascii="Arial" w:hAnsi="Arial" w:cs="Arial"/>
                      <w:b/>
                      <w:noProof/>
                      <w:sz w:val="18"/>
                      <w:szCs w:val="18"/>
                      <w:lang w:val="af-ZA"/>
                    </w:rPr>
                    <w:t>Tota</w:t>
                  </w:r>
                  <w:r w:rsidR="00275ADC">
                    <w:rPr>
                      <w:rFonts w:ascii="Arial" w:hAnsi="Arial" w:cs="Arial"/>
                      <w:b/>
                      <w:noProof/>
                      <w:sz w:val="18"/>
                      <w:szCs w:val="18"/>
                      <w:lang w:val="af-ZA"/>
                    </w:rPr>
                    <w:t>a</w:t>
                  </w:r>
                  <w:r w:rsidRPr="00275ADC">
                    <w:rPr>
                      <w:rFonts w:ascii="Arial" w:hAnsi="Arial" w:cs="Arial"/>
                      <w:b/>
                      <w:noProof/>
                      <w:sz w:val="18"/>
                      <w:szCs w:val="18"/>
                      <w:lang w:val="af-ZA"/>
                    </w:rPr>
                    <w:t>l</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275ADC" w:rsidRDefault="0024350F" w:rsidP="00A82A0A">
                  <w:pPr>
                    <w:spacing w:after="0" w:line="240" w:lineRule="auto"/>
                    <w:jc w:val="center"/>
                    <w:rPr>
                      <w:rFonts w:ascii="Arial" w:hAnsi="Arial" w:cs="Arial"/>
                      <w:b/>
                      <w:noProof/>
                      <w:sz w:val="18"/>
                      <w:szCs w:val="18"/>
                      <w:lang w:val="af-ZA"/>
                    </w:rPr>
                  </w:pPr>
                  <w:r w:rsidRPr="00275ADC">
                    <w:rPr>
                      <w:rFonts w:ascii="Arial" w:hAnsi="Arial" w:cs="Arial"/>
                      <w:b/>
                      <w:noProof/>
                      <w:sz w:val="18"/>
                      <w:szCs w:val="18"/>
                      <w:lang w:val="af-ZA"/>
                    </w:rPr>
                    <w:t>14.8 m</w:t>
                  </w:r>
                </w:p>
              </w:tc>
              <w:tc>
                <w:tcPr>
                  <w:tcW w:w="990"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A82A0A" w:rsidRPr="00275ADC" w:rsidRDefault="0024350F" w:rsidP="00A82A0A">
                  <w:pPr>
                    <w:spacing w:after="0" w:line="240" w:lineRule="auto"/>
                    <w:jc w:val="center"/>
                    <w:rPr>
                      <w:rFonts w:ascii="Arial" w:hAnsi="Arial" w:cs="Arial"/>
                      <w:b/>
                      <w:noProof/>
                      <w:sz w:val="18"/>
                      <w:szCs w:val="18"/>
                      <w:lang w:val="af-ZA"/>
                    </w:rPr>
                  </w:pPr>
                  <w:r w:rsidRPr="00275ADC">
                    <w:rPr>
                      <w:rFonts w:ascii="Arial" w:hAnsi="Arial" w:cs="Arial"/>
                      <w:b/>
                      <w:noProof/>
                      <w:sz w:val="18"/>
                      <w:szCs w:val="18"/>
                      <w:lang w:val="af-ZA"/>
                    </w:rPr>
                    <w:t>15.4 m</w:t>
                  </w:r>
                </w:p>
              </w:tc>
              <w:tc>
                <w:tcPr>
                  <w:tcW w:w="90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A82A0A" w:rsidRPr="00275ADC" w:rsidRDefault="0024350F" w:rsidP="00A82A0A">
                  <w:pPr>
                    <w:spacing w:after="0" w:line="240" w:lineRule="auto"/>
                    <w:jc w:val="center"/>
                    <w:rPr>
                      <w:rFonts w:ascii="Arial" w:hAnsi="Arial" w:cs="Arial"/>
                      <w:b/>
                      <w:noProof/>
                      <w:sz w:val="18"/>
                      <w:szCs w:val="18"/>
                      <w:lang w:val="af-ZA"/>
                    </w:rPr>
                  </w:pPr>
                  <w:r w:rsidRPr="00275ADC">
                    <w:rPr>
                      <w:rFonts w:ascii="Arial" w:hAnsi="Arial" w:cs="Arial"/>
                      <w:b/>
                      <w:noProof/>
                      <w:sz w:val="18"/>
                      <w:szCs w:val="18"/>
                      <w:lang w:val="af-ZA"/>
                    </w:rPr>
                    <w:t>15.5 m</w:t>
                  </w:r>
                </w:p>
              </w:tc>
              <w:tc>
                <w:tcPr>
                  <w:tcW w:w="1150"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275ADC" w:rsidRDefault="009201C1" w:rsidP="00A82A0A">
                  <w:pPr>
                    <w:spacing w:after="0" w:line="240" w:lineRule="auto"/>
                    <w:jc w:val="center"/>
                    <w:rPr>
                      <w:rFonts w:ascii="Arial" w:hAnsi="Arial" w:cs="Arial"/>
                      <w:b/>
                      <w:noProof/>
                      <w:sz w:val="18"/>
                      <w:szCs w:val="18"/>
                      <w:lang w:val="af-ZA"/>
                    </w:rPr>
                  </w:pPr>
                  <w:r w:rsidRPr="00275ADC">
                    <w:rPr>
                      <w:rFonts w:ascii="Arial" w:hAnsi="Arial" w:cs="Arial"/>
                      <w:b/>
                      <w:noProof/>
                      <w:sz w:val="18"/>
                      <w:szCs w:val="18"/>
                      <w:lang w:val="af-ZA"/>
                    </w:rPr>
                    <w:t>9.7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A82A0A" w:rsidRPr="00275ADC" w:rsidRDefault="009201C1" w:rsidP="00A82A0A">
                  <w:pPr>
                    <w:spacing w:after="0" w:line="240" w:lineRule="auto"/>
                    <w:jc w:val="center"/>
                    <w:rPr>
                      <w:rFonts w:ascii="Arial" w:hAnsi="Arial" w:cs="Arial"/>
                      <w:b/>
                      <w:noProof/>
                      <w:sz w:val="18"/>
                      <w:szCs w:val="18"/>
                      <w:lang w:val="af-ZA"/>
                    </w:rPr>
                  </w:pPr>
                  <w:r w:rsidRPr="00275ADC">
                    <w:rPr>
                      <w:rFonts w:ascii="Arial" w:hAnsi="Arial" w:cs="Arial"/>
                      <w:b/>
                      <w:noProof/>
                      <w:sz w:val="18"/>
                      <w:szCs w:val="18"/>
                      <w:lang w:val="af-ZA"/>
                    </w:rPr>
                    <w:t>10.3 m</w:t>
                  </w:r>
                </w:p>
              </w:tc>
              <w:tc>
                <w:tcPr>
                  <w:tcW w:w="1226"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A82A0A" w:rsidRPr="00275ADC" w:rsidRDefault="00A82A0A" w:rsidP="00A82A0A">
                  <w:pPr>
                    <w:spacing w:after="0" w:line="240" w:lineRule="auto"/>
                    <w:jc w:val="right"/>
                    <w:rPr>
                      <w:rFonts w:ascii="Arial" w:hAnsi="Arial" w:cs="Arial"/>
                      <w:b/>
                      <w:noProof/>
                      <w:sz w:val="18"/>
                      <w:szCs w:val="18"/>
                      <w:lang w:val="af-ZA"/>
                    </w:rPr>
                  </w:pPr>
                  <w:r w:rsidRPr="00275ADC">
                    <w:rPr>
                      <w:rFonts w:ascii="Arial" w:hAnsi="Arial" w:cs="Arial"/>
                      <w:b/>
                      <w:noProof/>
                      <w:sz w:val="18"/>
                      <w:szCs w:val="18"/>
                      <w:lang w:val="af-ZA"/>
                    </w:rPr>
                    <w:t>131.7 m</w:t>
                  </w:r>
                </w:p>
              </w:tc>
              <w:tc>
                <w:tcPr>
                  <w:tcW w:w="1260"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275ADC" w:rsidRDefault="00C5592E" w:rsidP="00A82A0A">
                  <w:pPr>
                    <w:spacing w:after="0" w:line="240" w:lineRule="auto"/>
                    <w:jc w:val="center"/>
                    <w:rPr>
                      <w:rFonts w:ascii="Arial" w:hAnsi="Arial" w:cs="Arial"/>
                      <w:b/>
                      <w:noProof/>
                      <w:sz w:val="18"/>
                      <w:szCs w:val="18"/>
                      <w:lang w:val="af-ZA"/>
                    </w:rPr>
                  </w:pPr>
                  <w:r w:rsidRPr="00275ADC">
                    <w:rPr>
                      <w:rFonts w:ascii="Arial" w:hAnsi="Arial" w:cs="Arial"/>
                      <w:b/>
                      <w:noProof/>
                      <w:sz w:val="18"/>
                      <w:szCs w:val="18"/>
                      <w:lang w:val="af-ZA"/>
                    </w:rPr>
                    <w:t>132.6 m</w:t>
                  </w:r>
                </w:p>
              </w:tc>
              <w:tc>
                <w:tcPr>
                  <w:tcW w:w="79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82A0A" w:rsidRPr="00275ADC" w:rsidRDefault="00A82A0A" w:rsidP="00A82A0A">
                  <w:pPr>
                    <w:spacing w:after="0" w:line="240" w:lineRule="auto"/>
                    <w:jc w:val="right"/>
                    <w:rPr>
                      <w:rFonts w:ascii="Arial" w:hAnsi="Arial" w:cs="Arial"/>
                      <w:b/>
                      <w:noProof/>
                      <w:sz w:val="18"/>
                      <w:szCs w:val="18"/>
                      <w:lang w:val="af-ZA"/>
                    </w:rPr>
                  </w:pPr>
                  <w:r w:rsidRPr="00275ADC">
                    <w:rPr>
                      <w:rFonts w:ascii="Arial" w:hAnsi="Arial" w:cs="Arial"/>
                      <w:b/>
                      <w:noProof/>
                      <w:sz w:val="18"/>
                      <w:szCs w:val="18"/>
                      <w:lang w:val="af-ZA"/>
                    </w:rPr>
                    <w:t>123 m</w:t>
                  </w:r>
                </w:p>
              </w:tc>
            </w:tr>
          </w:tbl>
          <w:bookmarkEnd w:id="1"/>
          <w:bookmarkEnd w:id="2"/>
          <w:p w:rsidR="00A75370" w:rsidRPr="003363E1" w:rsidRDefault="00A75370" w:rsidP="00A75370">
            <w:pPr>
              <w:spacing w:after="0" w:line="240" w:lineRule="auto"/>
              <w:ind w:right="-330"/>
              <w:jc w:val="center"/>
              <w:rPr>
                <w:rFonts w:ascii="Arial" w:hAnsi="Arial" w:cs="Arial"/>
                <w:b/>
                <w:color w:val="31849B"/>
                <w:sz w:val="17"/>
                <w:szCs w:val="17"/>
              </w:rPr>
            </w:pPr>
            <w:r w:rsidRPr="008D798D">
              <w:rPr>
                <w:rFonts w:ascii="Berlin Sans FB Demi" w:hAnsi="Berlin Sans FB Demi" w:cs="Arial"/>
                <w:color w:val="FF0000"/>
                <w:sz w:val="20"/>
              </w:rPr>
              <w:t>DIE CGA GROEP VAN MAATSKAPPYE (CRI, RIVER BIOSCIENCE, XSIT, CGA CULTIVAR COMPANY, CGA GROWER DEVELOPMENT COMPANY &amp; CITRUS ACADEMY) WORD DEUR SUIDER-AFRIKA SE SITRUSPRODUSENTE BEFONDS</w:t>
            </w:r>
          </w:p>
          <w:p w:rsidR="00AA44C4" w:rsidRPr="009E35CC" w:rsidRDefault="00AA44C4" w:rsidP="00AA44C4">
            <w:pPr>
              <w:spacing w:after="0"/>
              <w:jc w:val="center"/>
              <w:rPr>
                <w:rFonts w:ascii="Arial" w:hAnsi="Arial" w:cs="Arial"/>
                <w:b/>
                <w:color w:val="FF0000"/>
                <w:sz w:val="18"/>
                <w:szCs w:val="18"/>
              </w:rPr>
            </w:pPr>
          </w:p>
        </w:tc>
      </w:tr>
    </w:tbl>
    <w:p w:rsidR="00F553C7" w:rsidRPr="003363E1" w:rsidRDefault="00F553C7" w:rsidP="004A7F1C">
      <w:pPr>
        <w:spacing w:after="0" w:line="240" w:lineRule="auto"/>
        <w:ind w:right="-330"/>
        <w:rPr>
          <w:rFonts w:ascii="Arial" w:hAnsi="Arial" w:cs="Arial"/>
          <w:b/>
          <w:color w:val="31849B"/>
          <w:sz w:val="17"/>
          <w:szCs w:val="17"/>
        </w:rPr>
      </w:pPr>
    </w:p>
    <w:sectPr w:rsidR="00F553C7" w:rsidRPr="003363E1" w:rsidSect="00590B87">
      <w:pgSz w:w="11906" w:h="16838" w:code="9"/>
      <w:pgMar w:top="23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4.4pt;height:120.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5BF"/>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67139"/>
    <w:rsid w:val="000703F0"/>
    <w:rsid w:val="000718D8"/>
    <w:rsid w:val="00072002"/>
    <w:rsid w:val="00072545"/>
    <w:rsid w:val="00074434"/>
    <w:rsid w:val="00074631"/>
    <w:rsid w:val="00074D7C"/>
    <w:rsid w:val="00075CD9"/>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58CF"/>
    <w:rsid w:val="00096AAD"/>
    <w:rsid w:val="00096E39"/>
    <w:rsid w:val="00097835"/>
    <w:rsid w:val="000A0DCE"/>
    <w:rsid w:val="000A0FBB"/>
    <w:rsid w:val="000A119D"/>
    <w:rsid w:val="000A12A4"/>
    <w:rsid w:val="000A186D"/>
    <w:rsid w:val="000A3DE5"/>
    <w:rsid w:val="000A4152"/>
    <w:rsid w:val="000A5521"/>
    <w:rsid w:val="000A5A8C"/>
    <w:rsid w:val="000A5CA4"/>
    <w:rsid w:val="000A76B2"/>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01B8"/>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60E5"/>
    <w:rsid w:val="001F64E2"/>
    <w:rsid w:val="001F77B2"/>
    <w:rsid w:val="0020067C"/>
    <w:rsid w:val="00201013"/>
    <w:rsid w:val="002041ED"/>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50F"/>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5ADC"/>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D9C"/>
    <w:rsid w:val="002B08C0"/>
    <w:rsid w:val="002B10B9"/>
    <w:rsid w:val="002B13B8"/>
    <w:rsid w:val="002B16E4"/>
    <w:rsid w:val="002B1DD4"/>
    <w:rsid w:val="002B2DC3"/>
    <w:rsid w:val="002B4E83"/>
    <w:rsid w:val="002B6776"/>
    <w:rsid w:val="002B791C"/>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18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B0339"/>
    <w:rsid w:val="003B0BAA"/>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41331"/>
    <w:rsid w:val="0044136E"/>
    <w:rsid w:val="00441B07"/>
    <w:rsid w:val="00441D2E"/>
    <w:rsid w:val="00442534"/>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6653"/>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3A6"/>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47A72"/>
    <w:rsid w:val="00550CCC"/>
    <w:rsid w:val="00551E51"/>
    <w:rsid w:val="0055289B"/>
    <w:rsid w:val="005532CC"/>
    <w:rsid w:val="00555B8C"/>
    <w:rsid w:val="00556180"/>
    <w:rsid w:val="0055794F"/>
    <w:rsid w:val="00561449"/>
    <w:rsid w:val="00562C0C"/>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0B87"/>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358"/>
    <w:rsid w:val="005D0886"/>
    <w:rsid w:val="005D0B4C"/>
    <w:rsid w:val="005D128B"/>
    <w:rsid w:val="005D3EF1"/>
    <w:rsid w:val="005D42AA"/>
    <w:rsid w:val="005D4A2D"/>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446A"/>
    <w:rsid w:val="00604D71"/>
    <w:rsid w:val="00605D19"/>
    <w:rsid w:val="0060606F"/>
    <w:rsid w:val="00607A1E"/>
    <w:rsid w:val="00607ACB"/>
    <w:rsid w:val="00607DA4"/>
    <w:rsid w:val="006109F5"/>
    <w:rsid w:val="006114E0"/>
    <w:rsid w:val="00611957"/>
    <w:rsid w:val="006124CA"/>
    <w:rsid w:val="006126D9"/>
    <w:rsid w:val="0061547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17F8"/>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6C93"/>
    <w:rsid w:val="007277B2"/>
    <w:rsid w:val="00730B2E"/>
    <w:rsid w:val="00730E9D"/>
    <w:rsid w:val="00733F97"/>
    <w:rsid w:val="007340CF"/>
    <w:rsid w:val="00734228"/>
    <w:rsid w:val="00735543"/>
    <w:rsid w:val="00736024"/>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2A"/>
    <w:rsid w:val="007D0F48"/>
    <w:rsid w:val="007D1088"/>
    <w:rsid w:val="007D146F"/>
    <w:rsid w:val="007D28CC"/>
    <w:rsid w:val="007D4E74"/>
    <w:rsid w:val="007D548F"/>
    <w:rsid w:val="007D5F96"/>
    <w:rsid w:val="007D6D10"/>
    <w:rsid w:val="007D6DD1"/>
    <w:rsid w:val="007D73AB"/>
    <w:rsid w:val="007D771F"/>
    <w:rsid w:val="007E0616"/>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CA0"/>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3654"/>
    <w:rsid w:val="008E3ABC"/>
    <w:rsid w:val="008E3EC6"/>
    <w:rsid w:val="008E4A89"/>
    <w:rsid w:val="008E585B"/>
    <w:rsid w:val="008E7F06"/>
    <w:rsid w:val="008F0A61"/>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3C1"/>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370"/>
    <w:rsid w:val="00A75666"/>
    <w:rsid w:val="00A7633A"/>
    <w:rsid w:val="00A76B72"/>
    <w:rsid w:val="00A76EB0"/>
    <w:rsid w:val="00A77621"/>
    <w:rsid w:val="00A807E0"/>
    <w:rsid w:val="00A80A11"/>
    <w:rsid w:val="00A810E2"/>
    <w:rsid w:val="00A82A0A"/>
    <w:rsid w:val="00A851D6"/>
    <w:rsid w:val="00A8592E"/>
    <w:rsid w:val="00A86FD3"/>
    <w:rsid w:val="00A90EFF"/>
    <w:rsid w:val="00A91F61"/>
    <w:rsid w:val="00A92740"/>
    <w:rsid w:val="00A94BA7"/>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A6DC6"/>
    <w:rsid w:val="00AB3360"/>
    <w:rsid w:val="00AB4400"/>
    <w:rsid w:val="00AB64E3"/>
    <w:rsid w:val="00AB7831"/>
    <w:rsid w:val="00AC2158"/>
    <w:rsid w:val="00AC2C86"/>
    <w:rsid w:val="00AC738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2442"/>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285B"/>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578F6"/>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5592E"/>
    <w:rsid w:val="00C603BA"/>
    <w:rsid w:val="00C608C9"/>
    <w:rsid w:val="00C615CC"/>
    <w:rsid w:val="00C61F7A"/>
    <w:rsid w:val="00C620EF"/>
    <w:rsid w:val="00C623C5"/>
    <w:rsid w:val="00C649CF"/>
    <w:rsid w:val="00C66A73"/>
    <w:rsid w:val="00C70360"/>
    <w:rsid w:val="00C70C11"/>
    <w:rsid w:val="00C71536"/>
    <w:rsid w:val="00C71AF4"/>
    <w:rsid w:val="00C71E5B"/>
    <w:rsid w:val="00C725E2"/>
    <w:rsid w:val="00C72B88"/>
    <w:rsid w:val="00C72E88"/>
    <w:rsid w:val="00C7514B"/>
    <w:rsid w:val="00C762A6"/>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0A10"/>
    <w:rsid w:val="00CC15D5"/>
    <w:rsid w:val="00CC1A4A"/>
    <w:rsid w:val="00CC1B24"/>
    <w:rsid w:val="00CC3928"/>
    <w:rsid w:val="00CC3B1D"/>
    <w:rsid w:val="00CC5A99"/>
    <w:rsid w:val="00CC6CD7"/>
    <w:rsid w:val="00CC7694"/>
    <w:rsid w:val="00CD0A2F"/>
    <w:rsid w:val="00CD0CFF"/>
    <w:rsid w:val="00CD0FFA"/>
    <w:rsid w:val="00CD287D"/>
    <w:rsid w:val="00CD485B"/>
    <w:rsid w:val="00CD52F7"/>
    <w:rsid w:val="00CD7ACA"/>
    <w:rsid w:val="00CE1296"/>
    <w:rsid w:val="00CE1F37"/>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E3D"/>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1D56"/>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2C62"/>
    <w:rsid w:val="00E036E1"/>
    <w:rsid w:val="00E03DF4"/>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447"/>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5A9D"/>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1F1"/>
    <w:rsid w:val="00EC244E"/>
    <w:rsid w:val="00EC5A51"/>
    <w:rsid w:val="00EC64D7"/>
    <w:rsid w:val="00EC7BB4"/>
    <w:rsid w:val="00ED0806"/>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1EC"/>
    <w:rsid w:val="00F543B7"/>
    <w:rsid w:val="00F553C7"/>
    <w:rsid w:val="00F5719C"/>
    <w:rsid w:val="00F575FA"/>
    <w:rsid w:val="00F576D0"/>
    <w:rsid w:val="00F57BBA"/>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50F1"/>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7823339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54187914">
      <w:bodyDiv w:val="1"/>
      <w:marLeft w:val="0"/>
      <w:marRight w:val="0"/>
      <w:marTop w:val="0"/>
      <w:marBottom w:val="0"/>
      <w:divBdr>
        <w:top w:val="none" w:sz="0" w:space="0" w:color="auto"/>
        <w:left w:val="none" w:sz="0" w:space="0" w:color="auto"/>
        <w:bottom w:val="none" w:sz="0" w:space="0" w:color="auto"/>
        <w:right w:val="none" w:sz="0" w:space="0" w:color="auto"/>
      </w:divBdr>
    </w:div>
    <w:div w:id="205943321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www.daff.gov.za/daffweb3/Branches/Agricultural-Production-Health-Food-Safety/Food-Safety-Quality-Assurance/Export-Standards/Citrus-and-Subtropical-Fruit/Citrus-frui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32C9B-3503-4474-BE7F-175E4580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2018-02-15T09:27:00Z</cp:lastPrinted>
  <dcterms:created xsi:type="dcterms:W3CDTF">2018-05-21T08:12:00Z</dcterms:created>
  <dcterms:modified xsi:type="dcterms:W3CDTF">2018-05-21T08:12:00Z</dcterms:modified>
</cp:coreProperties>
</file>