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0" w:type="pct"/>
        <w:tblCellSpacing w:w="0" w:type="dxa"/>
        <w:tblInd w:w="-743" w:type="dxa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935"/>
      </w:tblGrid>
      <w:tr w:rsidR="00F553C7" w:rsidRPr="00901D81" w:rsidTr="00D04F2E">
        <w:trPr>
          <w:trHeight w:val="15677"/>
          <w:tblCellSpacing w:w="0" w:type="dxa"/>
        </w:trPr>
        <w:tc>
          <w:tcPr>
            <w:tcW w:w="10935" w:type="dxa"/>
            <w:shd w:val="clear" w:color="auto" w:fill="auto"/>
            <w:vAlign w:val="center"/>
          </w:tcPr>
          <w:tbl>
            <w:tblPr>
              <w:tblW w:w="1071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9"/>
            </w:tblGrid>
            <w:tr w:rsidR="00F553C7" w:rsidRPr="008C6E3A" w:rsidTr="00EB5273">
              <w:trPr>
                <w:trHeight w:val="1254"/>
                <w:tblCellSpacing w:w="0" w:type="dxa"/>
              </w:trPr>
              <w:tc>
                <w:tcPr>
                  <w:tcW w:w="10719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064F3C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Pr="00B85DDA" w:rsidRDefault="00B85DDA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UIT DIE PEN VAN DIE </w:t>
                                        </w:r>
                                        <w:r w:rsidR="00044293" w:rsidRPr="00B85DDA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CEO</w:t>
                                        </w:r>
                                        <w:r w:rsidR="005D0886" w:rsidRPr="00B85DDA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 (35</w:t>
                                        </w:r>
                                        <w:r w:rsidR="00044293" w:rsidRPr="00B85DDA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/17)</w:t>
                                        </w:r>
                                      </w:p>
                                      <w:p w:rsidR="00044293" w:rsidRPr="00B85DDA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 w:rsidRPr="00B85DDA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(</w:t>
                                        </w:r>
                                        <w:r w:rsidR="00B85DDA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Volg my op </w:t>
                                        </w:r>
                                        <w:r w:rsidRPr="00B85DDA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Twitter justchad_cga)</w:t>
                                        </w:r>
                                      </w:p>
                                      <w:p w:rsidR="00044293" w:rsidRPr="00B85DDA" w:rsidRDefault="00060122" w:rsidP="00DA4B02">
                                        <w:pPr>
                                          <w:spacing w:line="240" w:lineRule="auto"/>
                                          <w:rPr>
                                            <w:noProof/>
                                            <w:lang w:val="af-ZA"/>
                                          </w:rPr>
                                        </w:pPr>
                                        <w:r w:rsidRPr="00B85DDA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Justin Chadwick 15</w:t>
                                        </w:r>
                                        <w:r w:rsidR="003F75A3" w:rsidRPr="00B85DDA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September</w:t>
                                        </w:r>
                                        <w:r w:rsidR="00783644" w:rsidRPr="00B85DDA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Pr="00B85DDA" w:rsidRDefault="00B85DDA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UIT DIE PEN VAN DIE </w:t>
                                  </w:r>
                                  <w:r w:rsidR="00044293" w:rsidRPr="00B85DDA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CEO</w:t>
                                  </w:r>
                                  <w:r w:rsidR="005D0886" w:rsidRPr="00B85DDA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 (35</w:t>
                                  </w:r>
                                  <w:r w:rsidR="00044293" w:rsidRPr="00B85DDA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/17)</w:t>
                                  </w:r>
                                </w:p>
                                <w:p w:rsidR="00044293" w:rsidRPr="00B85DDA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 w:rsidRPr="00B85DDA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(</w:t>
                                  </w:r>
                                  <w:r w:rsidR="00B85DDA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Volg my op </w:t>
                                  </w:r>
                                  <w:r w:rsidRPr="00B85DDA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Twitter justchad_cga)</w:t>
                                  </w:r>
                                </w:p>
                                <w:p w:rsidR="00044293" w:rsidRPr="00B85DDA" w:rsidRDefault="00060122" w:rsidP="00DA4B02">
                                  <w:pPr>
                                    <w:spacing w:line="240" w:lineRule="auto"/>
                                    <w:rPr>
                                      <w:noProof/>
                                      <w:lang w:val="af-ZA"/>
                                    </w:rPr>
                                  </w:pPr>
                                  <w:r w:rsidRPr="00B85DDA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Justin Chadwick 15</w:t>
                                  </w:r>
                                  <w:r w:rsidR="003F75A3" w:rsidRPr="00B85DDA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September</w:t>
                                  </w:r>
                                  <w:r w:rsidR="00783644" w:rsidRPr="00B85DDA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450A62" w:rsidTr="00EB5273">
              <w:trPr>
                <w:trHeight w:val="42"/>
                <w:tblCellSpacing w:w="0" w:type="dxa"/>
              </w:trPr>
              <w:tc>
                <w:tcPr>
                  <w:tcW w:w="10719" w:type="dxa"/>
                  <w:vAlign w:val="center"/>
                  <w:hideMark/>
                </w:tcPr>
                <w:p w:rsidR="00F553C7" w:rsidRPr="00450A62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:rsidR="00197EB2" w:rsidRDefault="00346FD1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18"/>
                <w:szCs w:val="18"/>
                <w:lang w:val="en-US"/>
              </w:rPr>
            </w:pPr>
            <w:r w:rsidRPr="005A53DD">
              <w:rPr>
                <w:rFonts w:ascii="Arial" w:eastAsia="Times New Roman" w:hAnsi="Arial" w:cs="Arial"/>
                <w:b/>
                <w:i/>
                <w:color w:val="181818"/>
                <w:sz w:val="18"/>
                <w:szCs w:val="18"/>
                <w:lang w:val="en-US"/>
              </w:rPr>
              <w:t>“</w:t>
            </w:r>
            <w:r w:rsidR="00060122">
              <w:rPr>
                <w:rFonts w:ascii="Arial" w:eastAsia="Times New Roman" w:hAnsi="Arial" w:cs="Arial"/>
                <w:b/>
                <w:i/>
                <w:color w:val="181818"/>
                <w:sz w:val="18"/>
                <w:szCs w:val="18"/>
                <w:lang w:val="en-US"/>
              </w:rPr>
              <w:t>Asia is not going to be civilized after the methods of the West. There is too much Asia and she is too old” Rudyard Kipling</w:t>
            </w:r>
          </w:p>
          <w:p w:rsidR="00060122" w:rsidRPr="005A53DD" w:rsidRDefault="00060122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18"/>
                <w:szCs w:val="18"/>
                <w:lang w:val="en-US"/>
              </w:rPr>
            </w:pPr>
          </w:p>
          <w:p w:rsidR="00346FD1" w:rsidRPr="002250E1" w:rsidRDefault="00FD2F3F" w:rsidP="00A4284E">
            <w:pPr>
              <w:spacing w:after="0"/>
              <w:rPr>
                <w:rFonts w:ascii="Arial" w:eastAsia="Times New Roman" w:hAnsi="Arial" w:cs="Arial"/>
                <w:b/>
                <w:noProof/>
                <w:color w:val="C00000"/>
                <w:sz w:val="20"/>
                <w:szCs w:val="20"/>
                <w:u w:val="single"/>
                <w:lang w:val="af-ZA"/>
              </w:rPr>
            </w:pPr>
            <w:r w:rsidRPr="002250E1">
              <w:rPr>
                <w:rFonts w:ascii="Arial" w:eastAsia="Times New Roman" w:hAnsi="Arial" w:cs="Arial"/>
                <w:b/>
                <w:noProof/>
                <w:color w:val="C00000"/>
                <w:sz w:val="20"/>
                <w:szCs w:val="20"/>
                <w:u w:val="single"/>
                <w:lang w:val="af-ZA"/>
              </w:rPr>
              <w:t>S</w:t>
            </w:r>
            <w:r w:rsidR="002250E1" w:rsidRPr="002250E1">
              <w:rPr>
                <w:rFonts w:ascii="Arial" w:eastAsia="Times New Roman" w:hAnsi="Arial" w:cs="Arial"/>
                <w:b/>
                <w:noProof/>
                <w:color w:val="C00000"/>
                <w:sz w:val="20"/>
                <w:szCs w:val="20"/>
                <w:u w:val="single"/>
                <w:lang w:val="af-ZA"/>
              </w:rPr>
              <w:t xml:space="preserve">UIDELIKE HALFROND SE UITVOERE NA </w:t>
            </w:r>
            <w:r w:rsidRPr="002250E1">
              <w:rPr>
                <w:rFonts w:ascii="Arial" w:eastAsia="Times New Roman" w:hAnsi="Arial" w:cs="Arial"/>
                <w:b/>
                <w:noProof/>
                <w:color w:val="C00000"/>
                <w:sz w:val="20"/>
                <w:szCs w:val="20"/>
                <w:u w:val="single"/>
                <w:lang w:val="af-ZA"/>
              </w:rPr>
              <w:t>A</w:t>
            </w:r>
            <w:r w:rsidR="002250E1" w:rsidRPr="002250E1">
              <w:rPr>
                <w:rFonts w:ascii="Arial" w:eastAsia="Times New Roman" w:hAnsi="Arial" w:cs="Arial"/>
                <w:b/>
                <w:noProof/>
                <w:color w:val="C00000"/>
                <w:sz w:val="20"/>
                <w:szCs w:val="20"/>
                <w:u w:val="single"/>
                <w:lang w:val="af-ZA"/>
              </w:rPr>
              <w:t>sië</w:t>
            </w:r>
            <w:r w:rsidRPr="002250E1">
              <w:rPr>
                <w:rFonts w:ascii="Arial" w:eastAsia="Times New Roman" w:hAnsi="Arial" w:cs="Arial"/>
                <w:b/>
                <w:noProof/>
                <w:color w:val="C00000"/>
                <w:sz w:val="20"/>
                <w:szCs w:val="20"/>
                <w:u w:val="single"/>
                <w:lang w:val="af-ZA"/>
              </w:rPr>
              <w:t xml:space="preserve"> (TON)</w:t>
            </w:r>
          </w:p>
          <w:tbl>
            <w:tblPr>
              <w:tblpPr w:leftFromText="180" w:rightFromText="180" w:vertAnchor="text" w:horzAnchor="page" w:tblpX="6186" w:tblpY="-42"/>
              <w:tblOverlap w:val="never"/>
              <w:tblW w:w="3249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660"/>
              <w:gridCol w:w="1589"/>
            </w:tblGrid>
            <w:tr w:rsidR="00FD2F3F" w:rsidRPr="00B85DDA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C00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bCs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 xml:space="preserve">Country </w:t>
                  </w:r>
                </w:p>
              </w:tc>
              <w:tc>
                <w:tcPr>
                  <w:tcW w:w="1589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C00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bCs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Volume in T</w:t>
                  </w:r>
                </w:p>
              </w:tc>
            </w:tr>
            <w:tr w:rsidR="00FD2F3F" w:rsidRPr="00B85DDA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 xml:space="preserve">Chile 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526,775</w:t>
                  </w:r>
                </w:p>
              </w:tc>
            </w:tr>
            <w:tr w:rsidR="00FD2F3F" w:rsidRPr="00B85DDA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B85DDA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S</w:t>
                  </w:r>
                  <w:r w:rsidR="00B85DDA"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uid-</w:t>
                  </w: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Afri</w:t>
                  </w:r>
                  <w:r w:rsidR="00B85DDA"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k</w:t>
                  </w: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 xml:space="preserve">a 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497,644</w:t>
                  </w:r>
                </w:p>
              </w:tc>
            </w:tr>
            <w:tr w:rsidR="00FD2F3F" w:rsidRPr="00B85DDA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2250E1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N</w:t>
                  </w:r>
                  <w:r w:rsidR="002250E1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ieu-See</w:t>
                  </w: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land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478,311</w:t>
                  </w:r>
                </w:p>
              </w:tc>
            </w:tr>
            <w:tr w:rsidR="00FD2F3F" w:rsidRPr="00B85DDA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B85DDA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Australië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314,479</w:t>
                  </w:r>
                </w:p>
              </w:tc>
            </w:tr>
            <w:tr w:rsidR="00FD2F3F" w:rsidRPr="00B85DDA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Peru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96,381</w:t>
                  </w:r>
                </w:p>
              </w:tc>
            </w:tr>
            <w:tr w:rsidR="00FD2F3F" w:rsidRPr="00B85DDA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B85DDA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Argentin</w:t>
                  </w:r>
                  <w:r w:rsid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ë</w:t>
                  </w: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 xml:space="preserve"> 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26,230</w:t>
                  </w:r>
                </w:p>
              </w:tc>
            </w:tr>
            <w:tr w:rsidR="00FD2F3F" w:rsidRPr="00B85DDA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Uruguay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2,145</w:t>
                  </w:r>
                </w:p>
              </w:tc>
            </w:tr>
            <w:tr w:rsidR="00FD2F3F" w:rsidRPr="00B85DDA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000000"/>
                    <w:right w:val="single" w:sz="8" w:space="0" w:color="FFFFFF"/>
                  </w:tcBorders>
                  <w:shd w:val="clear" w:color="auto" w:fill="F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Tot</w:t>
                  </w:r>
                  <w:r w:rsid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a</w:t>
                  </w: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 xml:space="preserve">al 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000000"/>
                  </w:tcBorders>
                  <w:shd w:val="clear" w:color="auto" w:fill="F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B85DDA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</w:pPr>
                  <w:r w:rsidRPr="00B85DDA">
                    <w:rPr>
                      <w:rFonts w:ascii="Arial" w:eastAsia="Times New Roman" w:hAnsi="Arial" w:cs="Arial"/>
                      <w:b/>
                      <w:noProof/>
                      <w:color w:val="C00000"/>
                      <w:sz w:val="20"/>
                      <w:szCs w:val="20"/>
                      <w:u w:val="single"/>
                      <w:lang w:val="af-ZA"/>
                    </w:rPr>
                    <w:t>1,941,965</w:t>
                  </w:r>
                </w:p>
              </w:tc>
            </w:tr>
          </w:tbl>
          <w:p w:rsidR="00FD2F3F" w:rsidRDefault="00C83D05" w:rsidP="00CF7E9D">
            <w:pPr>
              <w:spacing w:after="0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u w:val="single"/>
                <w:lang w:val="en-US"/>
              </w:rPr>
            </w:pPr>
            <w:r w:rsidRPr="00272DE7">
              <w:rPr>
                <w:rFonts w:ascii="Comic Sans MS" w:hAnsi="Comic Sans MS"/>
                <w:b/>
                <w:i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1885315</wp:posOffset>
                      </wp:positionV>
                      <wp:extent cx="3086735" cy="1404620"/>
                      <wp:effectExtent l="0" t="0" r="18415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7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D05" w:rsidRDefault="00507FCB" w:rsidP="00D04F2E">
                                  <w:pPr>
                                    <w:spacing w:line="240" w:lineRule="auto"/>
                                    <w:jc w:val="both"/>
                                  </w:pP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Suid-Afrika se deelname aan “Asia Fruit Logistica” was groter en beter as ooit tevore. 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Departement Handel en Nywerheid se bydra het vir groter spasie en meer afgevaardigdes</w:t>
                                  </w:r>
                                  <w:r w:rsidR="008A43AA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 gesorg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. Die stalletjie was vir die volle drie dae baie besig. Die rede is nie moeilik om te verstaan ni</w:t>
                                  </w:r>
                                  <w:r w:rsid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e - met 500 000 ton Suid-Afrikaanse 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vrugte wat na die streek verskeep word, en 'n groot uiteenlopende verskeidenheid van bestemmings, druk Suid-Afrika sy stempel  in Asië af. Dit is ten spyte van baie mededingende wanbalanse</w:t>
                                  </w:r>
                                  <w:r w:rsidR="008A43AA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 – 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mededingers</w:t>
                                  </w:r>
                                  <w:r w:rsidR="008A43AA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 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het ondersteunende regerings wat </w:t>
                                  </w:r>
                                  <w:r w:rsid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vir 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verskeie gedeeltelike en vry</w:t>
                                  </w:r>
                                  <w:r w:rsidR="008A43AA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e 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handelsooreenkomste onderhandel, wat aan hul 'n duidelike voordeel gee.</w:t>
                                  </w:r>
                                  <w:r w:rsid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 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Nietemin, </w:t>
                                  </w:r>
                                  <w:r w:rsid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het 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die unieke smaak, uitstekende gehalte en verskeidenheid produkte, tesame met toegewyde uitvoerders wat die ekstra myl </w:t>
                                  </w:r>
                                  <w:r w:rsid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stap; en aantreklike prysvlakke 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daartoe gelei dat Suid-Afrika die voorste sitrusuitvoerder van die suidelike halfrond na Asië is. Soos pogings om toegangstoestande te verbeter</w:t>
                                  </w:r>
                                  <w:r w:rsid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,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 xml:space="preserve"> momentum kry, sal Suid-Afrikaanse vrugte-uitvoere na Asië </w:t>
                                  </w:r>
                                  <w:r w:rsid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toeneem</w:t>
                                  </w:r>
                                  <w:r w:rsidRPr="00E43264">
                                    <w:rPr>
                                      <w:rFonts w:ascii="Arial" w:eastAsiaTheme="minorHAnsi" w:hAnsi="Arial" w:cs="Arial"/>
                                      <w:noProof/>
                                      <w:lang w:val="af-Z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79.1pt;margin-top:148.45pt;width:243.0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">
                      <v:textbox style="mso-fit-shape-to-text:t">
                        <w:txbxContent>
                          <w:p w:rsidR="00C83D05" w:rsidRDefault="00507FCB" w:rsidP="00D04F2E">
                            <w:pPr>
                              <w:spacing w:line="240" w:lineRule="auto"/>
                              <w:jc w:val="both"/>
                            </w:pP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Suid-Afrika se deelname aan “Asia Fruit Logistica” was groter en beter as ooit tevore. 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Departement Handel en Nywerheid se bydra het vir groter spasie en meer afgevaardigdes</w:t>
                            </w:r>
                            <w:r w:rsidR="008A43AA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 gesorg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. Die stalletjie was vir die volle drie dae baie besig. Die rede is nie moeilik om te verstaan ni</w:t>
                            </w:r>
                            <w:r w:rsid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e - met 500 000 ton Suid-Afrikaanse 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vrugte wat na die streek verskeep word, en 'n groot uiteenlopende verskeidenheid van bestemmings, druk Suid-Afrika sy stempel  in Asië af. Dit is ten spyte van baie mededingende wanbalanse</w:t>
                            </w:r>
                            <w:r w:rsidR="008A43AA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 – 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mededingers</w:t>
                            </w:r>
                            <w:r w:rsidR="008A43AA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 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het ondersteunende regerings wat </w:t>
                            </w:r>
                            <w:r w:rsid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vir 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verskeie gedeeltelike en vry</w:t>
                            </w:r>
                            <w:r w:rsidR="008A43AA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e 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handelsooreenkomste onderhandel, wat aan hul 'n duidelike voordeel gee.</w:t>
                            </w:r>
                            <w:r w:rsid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 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Nietemin, </w:t>
                            </w:r>
                            <w:r w:rsid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het 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die unieke smaak, uitstekende gehalte en verskeidenheid produkte, tesame met toegewyde uitvoerders wat die ekstra myl </w:t>
                            </w:r>
                            <w:r w:rsid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stap; en aantreklike prysvlakke 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daartoe gelei dat Suid-Afrika die voorste sitrusuitvoerder van die suidelike halfrond na Asië is. Soos pogings om toegangstoestande te verbeter</w:t>
                            </w:r>
                            <w:r w:rsid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,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 xml:space="preserve"> momentum kry, sal Suid-Afrikaanse vrugte-uitvoere na Asië </w:t>
                            </w:r>
                            <w:r w:rsid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toeneem</w:t>
                            </w:r>
                            <w:r w:rsidRPr="00E43264">
                              <w:rPr>
                                <w:rFonts w:ascii="Arial" w:eastAsiaTheme="minorHAnsi" w:hAnsi="Arial" w:cs="Arial"/>
                                <w:noProof/>
                                <w:lang w:val="af-ZA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2F3F" w:rsidRPr="00FD2F3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ADE62D7" wp14:editId="6807F6B2">
                  <wp:extent cx="3394253" cy="1916430"/>
                  <wp:effectExtent l="0" t="0" r="15875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D2F3F" w:rsidRDefault="00FD2F3F" w:rsidP="00CF7E9D">
            <w:pPr>
              <w:spacing w:after="0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u w:val="single"/>
                <w:lang w:val="en-US"/>
              </w:rPr>
            </w:pPr>
            <w:r w:rsidRPr="00FD2F3F">
              <w:rPr>
                <w:rFonts w:ascii="Arial" w:eastAsia="Times New Roman" w:hAnsi="Arial" w:cs="Arial"/>
                <w:b/>
                <w:bCs/>
                <w:noProof/>
                <w:color w:val="C00000"/>
                <w:sz w:val="20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AF163" wp14:editId="657B1BA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156845</wp:posOffset>
                      </wp:positionV>
                      <wp:extent cx="1616075" cy="445135"/>
                      <wp:effectExtent l="0" t="0" r="0" b="0"/>
                      <wp:wrapNone/>
                      <wp:docPr id="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445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D2F3F" w:rsidRPr="00FD2F3F" w:rsidRDefault="00FD2F3F" w:rsidP="00FD2F3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FD2F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de-DE"/>
                                    </w:rPr>
                                    <w:t>S</w:t>
                                  </w:r>
                                  <w:r w:rsidR="00B85DD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de-DE"/>
                                    </w:rPr>
                                    <w:t>uid-</w:t>
                                  </w:r>
                                  <w:r w:rsidRPr="00FD2F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de-DE"/>
                                    </w:rPr>
                                    <w:t>Afri</w:t>
                                  </w:r>
                                  <w:r w:rsidR="00B85DD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de-DE"/>
                                    </w:rPr>
                                    <w:t>k</w:t>
                                  </w:r>
                                  <w:r w:rsidRPr="00FD2F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de-DE"/>
                                    </w:rPr>
                                    <w:t xml:space="preserve">a: </w:t>
                                  </w:r>
                                  <w:r w:rsidR="00B85DD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de-DE"/>
                                    </w:rPr>
                                    <w:t>Uitvoer Bestemmings</w:t>
                                  </w:r>
                                  <w:r w:rsidRPr="00FD2F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F163" id="TextBox 6" o:spid="_x0000_s1028" type="#_x0000_t202" style="position:absolute;left:0;text-align:left;margin-left:46.1pt;margin-top:12.35pt;width:127.2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" filled="f" stroked="f">
                      <v:textbox>
                        <w:txbxContent>
                          <w:p w:rsidR="00FD2F3F" w:rsidRPr="00FD2F3F" w:rsidRDefault="00FD2F3F" w:rsidP="00FD2F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D2F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>S</w:t>
                            </w:r>
                            <w:r w:rsidR="00B85D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>uid-</w:t>
                            </w:r>
                            <w:r w:rsidRPr="00FD2F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>Afri</w:t>
                            </w:r>
                            <w:r w:rsidR="00B85D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>k</w:t>
                            </w:r>
                            <w:r w:rsidRPr="00FD2F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 xml:space="preserve">a: </w:t>
                            </w:r>
                            <w:r w:rsidR="00B85D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>Uitvoer Bestemmings</w:t>
                            </w:r>
                            <w:r w:rsidRPr="00FD2F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F3F">
              <w:rPr>
                <w:rFonts w:ascii="Arial" w:eastAsia="Times New Roman" w:hAnsi="Arial" w:cs="Arial"/>
                <w:b/>
                <w:noProof/>
                <w:color w:val="C00000"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14AEE9A2" wp14:editId="2B5D06EC">
                  <wp:extent cx="3412958" cy="4295274"/>
                  <wp:effectExtent l="0" t="0" r="16510" b="1016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D61B63" w:rsidRPr="00507FCB" w:rsidRDefault="00507FCB" w:rsidP="009146C3">
            <w:pPr>
              <w:spacing w:after="0"/>
              <w:jc w:val="both"/>
              <w:rPr>
                <w:rFonts w:ascii="Arial" w:hAnsi="Arial" w:cs="Arial"/>
                <w:b/>
                <w:bCs/>
                <w:color w:val="C00000"/>
                <w:u w:val="single"/>
              </w:rPr>
            </w:pPr>
            <w:r w:rsidRPr="00507FCB">
              <w:rPr>
                <w:rFonts w:ascii="Arial" w:hAnsi="Arial" w:cs="Arial"/>
                <w:b/>
                <w:bCs/>
                <w:color w:val="C00000"/>
                <w:u w:val="single"/>
              </w:rPr>
              <w:t>GEPAK EN VERSKEEP</w:t>
            </w:r>
            <w:r w:rsidR="00760E7D" w:rsidRPr="00507FCB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 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27"/>
              <w:gridCol w:w="944"/>
              <w:gridCol w:w="944"/>
              <w:gridCol w:w="944"/>
              <w:gridCol w:w="977"/>
              <w:gridCol w:w="1017"/>
              <w:gridCol w:w="1187"/>
              <w:gridCol w:w="1207"/>
              <w:gridCol w:w="944"/>
            </w:tblGrid>
            <w:tr w:rsidR="007B1014" w:rsidRPr="00B85DDA" w:rsidTr="008A633C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1014" w:rsidRPr="00B85DDA" w:rsidRDefault="007B1014" w:rsidP="007B101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bookmarkStart w:id="0" w:name="OLE_LINK1"/>
                  <w:bookmarkStart w:id="1" w:name="OLE_LINK2"/>
                  <w:r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To</w:t>
                  </w:r>
                  <w:r w:rsid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</w:t>
                  </w:r>
                  <w:r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E</w:t>
                  </w:r>
                  <w:r w:rsid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i</w:t>
                  </w:r>
                  <w:r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nd</w:t>
                  </w:r>
                  <w:r w:rsid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e</w:t>
                  </w:r>
                  <w:r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Week </w:t>
                  </w:r>
                  <w:r w:rsidR="005D0886"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36</w:t>
                  </w:r>
                </w:p>
                <w:p w:rsidR="007B1014" w:rsidRPr="00B85DDA" w:rsidRDefault="007B1014" w:rsidP="00B85DD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  <w:r w:rsid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iljoen</w:t>
                  </w:r>
                  <w:r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15 Kg </w:t>
                  </w:r>
                  <w:r w:rsid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Kartonne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CCCCCC"/>
                </w:tcPr>
                <w:p w:rsidR="007B1014" w:rsidRPr="00B85DDA" w:rsidRDefault="00B85DDA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  <w:r w:rsidR="007B1014"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B85DDA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B85DDA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B85DDA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B85DDA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E6E6E6"/>
                </w:tcPr>
                <w:p w:rsidR="007B1014" w:rsidRDefault="00B85DD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Aanvanklike</w:t>
                  </w:r>
                </w:p>
                <w:p w:rsidR="00B85DDA" w:rsidRPr="00B85DDA" w:rsidRDefault="00B85DD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Skatting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E6E6E6"/>
                </w:tcPr>
                <w:p w:rsidR="007B1014" w:rsidRDefault="00B85DD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Nuutste</w:t>
                  </w:r>
                </w:p>
                <w:p w:rsidR="00B85DDA" w:rsidRPr="00B85DDA" w:rsidRDefault="00B85DD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Voorspelling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Fin</w:t>
                  </w:r>
                  <w:r w:rsid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B85DDA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al </w:t>
                  </w:r>
                </w:p>
                <w:p w:rsidR="00B85DDA" w:rsidRPr="00B85DDA" w:rsidRDefault="00B85DD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7B1014" w:rsidRPr="00B85DDA" w:rsidTr="008A633C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B85DDA" w:rsidRDefault="00B85DDA" w:rsidP="007B101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val="af-ZA"/>
                    </w:rPr>
                    <w:t>BRON</w:t>
                  </w:r>
                  <w:r w:rsidR="007B1014" w:rsidRPr="00B85DDA"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val="af-ZA"/>
                    </w:rPr>
                    <w:t>: PPECB/AGRIHUB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2016</w:t>
                  </w:r>
                </w:p>
              </w:tc>
            </w:tr>
            <w:tr w:rsidR="007B1014" w:rsidRPr="00B85DDA" w:rsidTr="008A633C">
              <w:trPr>
                <w:trHeight w:val="214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B85DDA" w:rsidRDefault="00B85DDA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Pomelo’s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16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13.2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0325E2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15.6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13.1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5C3B51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14.1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15.6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B85DDA" w:rsidRDefault="00A03CB6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 xml:space="preserve"> 15.7</w:t>
                  </w:r>
                  <w:r w:rsidR="007B1014" w:rsidRPr="00B85DDA">
                    <w:rPr>
                      <w:noProof/>
                      <w:lang w:val="af-ZA"/>
                    </w:rPr>
                    <w:t xml:space="preserve"> m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13.2 m</w:t>
                  </w:r>
                </w:p>
              </w:tc>
            </w:tr>
            <w:tr w:rsidR="007B1014" w:rsidRPr="00B85DDA" w:rsidTr="008A633C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B85DDA" w:rsidRDefault="007B1014" w:rsidP="00B85DD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S</w:t>
                  </w:r>
                  <w:r w:rsidR="00B85DDA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agte S</w:t>
                  </w:r>
                  <w:r w:rsidRPr="00B85DDA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itrus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9.7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12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13.2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11.1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12.6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13.2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B85DDA" w:rsidRDefault="00682D2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13.8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12.2 m</w:t>
                  </w:r>
                </w:p>
              </w:tc>
            </w:tr>
            <w:tr w:rsidR="007B1014" w:rsidRPr="00B85DDA" w:rsidTr="008A633C">
              <w:trPr>
                <w:trHeight w:val="18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B85DDA" w:rsidRDefault="00B85DDA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Suurlemoene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14.5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14.7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18.7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14.3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18.3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17.5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B85DDA" w:rsidRDefault="00E608D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18.7</w:t>
                  </w:r>
                  <w:r w:rsidR="009B4052" w:rsidRPr="00B85DDA">
                    <w:rPr>
                      <w:noProof/>
                      <w:lang w:val="af-ZA"/>
                    </w:rPr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15 m</w:t>
                  </w:r>
                </w:p>
              </w:tc>
            </w:tr>
            <w:tr w:rsidR="007B1014" w:rsidRPr="00B85DDA" w:rsidTr="008A633C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B85DDA" w:rsidRDefault="00B85DDA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Naw</w:t>
                  </w:r>
                  <w:r w:rsidR="007B1014" w:rsidRPr="00B85DDA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els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24.3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26.2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25.4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26.3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B85DDA" w:rsidRDefault="00682D2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21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26.2 m</w:t>
                  </w:r>
                </w:p>
              </w:tc>
            </w:tr>
            <w:tr w:rsidR="007B1014" w:rsidRPr="00B85DDA" w:rsidTr="008A633C">
              <w:trPr>
                <w:trHeight w:val="245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B85DDA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Valencia</w:t>
                  </w:r>
                  <w:r w:rsidR="00B85DDA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39.8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37.4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44.7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33.7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36.7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50.1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B85DDA" w:rsidRDefault="00682D2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49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41.8 m</w:t>
                  </w:r>
                </w:p>
              </w:tc>
            </w:tr>
            <w:tr w:rsidR="007B1014" w:rsidRPr="00B85DDA" w:rsidTr="008A633C">
              <w:trPr>
                <w:trHeight w:val="214"/>
              </w:trPr>
              <w:tc>
                <w:tcPr>
                  <w:tcW w:w="20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1014" w:rsidRPr="00B85DDA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Tot</w:t>
                  </w:r>
                  <w:r w:rsidR="00B85DDA" w:rsidRPr="00B85DDA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a</w:t>
                  </w:r>
                  <w:r w:rsidRPr="00B85DDA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104.3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103.5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113.2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97.6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B85DDA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102.7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122.7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7B1014" w:rsidRPr="00B85DDA" w:rsidRDefault="00682D2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118.2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Pr="00B85DDA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B85DDA">
                    <w:rPr>
                      <w:noProof/>
                      <w:lang w:val="af-ZA"/>
                    </w:rPr>
                    <w:t>108.4 m</w:t>
                  </w:r>
                </w:p>
              </w:tc>
            </w:tr>
            <w:bookmarkEnd w:id="0"/>
            <w:bookmarkEnd w:id="1"/>
          </w:tbl>
          <w:p w:rsidR="009E35AA" w:rsidRPr="00C24647" w:rsidRDefault="009E35AA" w:rsidP="009E35AA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16CA8" w:rsidRPr="00F16CA8" w:rsidRDefault="00F16CA8" w:rsidP="009E35AA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01314" w:rsidRPr="009C2513" w:rsidRDefault="00D04F2E" w:rsidP="00F16CA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748C7">
              <w:rPr>
                <w:rFonts w:ascii="Berlin Sans FB Demi" w:hAnsi="Berlin Sans FB Demi" w:cs="Arial"/>
                <w:color w:val="FF0000"/>
                <w:sz w:val="18"/>
              </w:rPr>
              <w:t>DIE CGA GROEP VAN MAATSKAPPYE (CRI, RIVER BIOSCIENCE, XSIT, CGA CULTIVAR COMPANY, CGA GROWER DEVELOPMENT COMPANY &amp; CITRUS ACADEMY) WORD DEUR SUIDER-AFRIKA SE SITRUSPRODUSENTE BEFOND</w:t>
            </w:r>
            <w:r>
              <w:rPr>
                <w:rFonts w:ascii="Berlin Sans FB Demi" w:hAnsi="Berlin Sans FB Demi" w:cs="Arial"/>
                <w:color w:val="FF0000"/>
                <w:sz w:val="18"/>
              </w:rPr>
              <w:t>S</w:t>
            </w:r>
            <w:bookmarkStart w:id="2" w:name="_GoBack"/>
            <w:bookmarkEnd w:id="2"/>
          </w:p>
        </w:tc>
      </w:tr>
    </w:tbl>
    <w:p w:rsidR="00F553C7" w:rsidRPr="003363E1" w:rsidRDefault="00F553C7" w:rsidP="00D04F2E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5pt;height:120pt" o:bullet="t">
        <v:imagedata r:id="rId1" o:title="cga"/>
      </v:shape>
    </w:pict>
  </w:numPicBullet>
  <w:abstractNum w:abstractNumId="0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3635"/>
    <w:rsid w:val="0001467F"/>
    <w:rsid w:val="00015287"/>
    <w:rsid w:val="0002011F"/>
    <w:rsid w:val="00020EDE"/>
    <w:rsid w:val="000210DD"/>
    <w:rsid w:val="00023D6B"/>
    <w:rsid w:val="0002435D"/>
    <w:rsid w:val="00025661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AC2"/>
    <w:rsid w:val="00055AD9"/>
    <w:rsid w:val="00060122"/>
    <w:rsid w:val="00061C0E"/>
    <w:rsid w:val="00064F3C"/>
    <w:rsid w:val="0006507E"/>
    <w:rsid w:val="00065BD7"/>
    <w:rsid w:val="00065D8C"/>
    <w:rsid w:val="0006671B"/>
    <w:rsid w:val="000703F0"/>
    <w:rsid w:val="00072002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44D1"/>
    <w:rsid w:val="00126F40"/>
    <w:rsid w:val="0013042A"/>
    <w:rsid w:val="00133C4C"/>
    <w:rsid w:val="00136086"/>
    <w:rsid w:val="00137CA3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6F99"/>
    <w:rsid w:val="0015724E"/>
    <w:rsid w:val="00160F4C"/>
    <w:rsid w:val="0016126F"/>
    <w:rsid w:val="00162A6B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7890"/>
    <w:rsid w:val="00187C7E"/>
    <w:rsid w:val="001901B2"/>
    <w:rsid w:val="00192CD1"/>
    <w:rsid w:val="001939DC"/>
    <w:rsid w:val="00197087"/>
    <w:rsid w:val="00197EB2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0E1"/>
    <w:rsid w:val="0022594D"/>
    <w:rsid w:val="0022759B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D2D32"/>
    <w:rsid w:val="002D2D4B"/>
    <w:rsid w:val="002D328A"/>
    <w:rsid w:val="002D39FE"/>
    <w:rsid w:val="002D5CFA"/>
    <w:rsid w:val="002D6368"/>
    <w:rsid w:val="002E01E8"/>
    <w:rsid w:val="002E1A60"/>
    <w:rsid w:val="002E2228"/>
    <w:rsid w:val="002E2EC0"/>
    <w:rsid w:val="002E3B72"/>
    <w:rsid w:val="002E4391"/>
    <w:rsid w:val="002E44E2"/>
    <w:rsid w:val="002F0446"/>
    <w:rsid w:val="002F04FF"/>
    <w:rsid w:val="002F0EB8"/>
    <w:rsid w:val="002F13BD"/>
    <w:rsid w:val="002F29CA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1104"/>
    <w:rsid w:val="003222EF"/>
    <w:rsid w:val="00322563"/>
    <w:rsid w:val="00323169"/>
    <w:rsid w:val="00323627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507EC"/>
    <w:rsid w:val="00350C59"/>
    <w:rsid w:val="0035159A"/>
    <w:rsid w:val="00351713"/>
    <w:rsid w:val="00352180"/>
    <w:rsid w:val="00352763"/>
    <w:rsid w:val="0035437A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2FD8"/>
    <w:rsid w:val="003940CA"/>
    <w:rsid w:val="003961D5"/>
    <w:rsid w:val="003A02EE"/>
    <w:rsid w:val="003A0696"/>
    <w:rsid w:val="003A08A6"/>
    <w:rsid w:val="003A08AC"/>
    <w:rsid w:val="003A0C6B"/>
    <w:rsid w:val="003A23B3"/>
    <w:rsid w:val="003A2841"/>
    <w:rsid w:val="003A3E07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2597"/>
    <w:rsid w:val="003C2958"/>
    <w:rsid w:val="003C30EB"/>
    <w:rsid w:val="003C34BC"/>
    <w:rsid w:val="003C3548"/>
    <w:rsid w:val="003C3E09"/>
    <w:rsid w:val="003C720A"/>
    <w:rsid w:val="003D0D11"/>
    <w:rsid w:val="003D1716"/>
    <w:rsid w:val="003D4C32"/>
    <w:rsid w:val="003D506B"/>
    <w:rsid w:val="003D521D"/>
    <w:rsid w:val="003D53FD"/>
    <w:rsid w:val="003D5E73"/>
    <w:rsid w:val="003D5FAB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7BFF"/>
    <w:rsid w:val="00407FFE"/>
    <w:rsid w:val="004102D5"/>
    <w:rsid w:val="00410898"/>
    <w:rsid w:val="00410E91"/>
    <w:rsid w:val="004115FA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3390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50A05"/>
    <w:rsid w:val="00450A62"/>
    <w:rsid w:val="00450EF6"/>
    <w:rsid w:val="004524CA"/>
    <w:rsid w:val="004531D2"/>
    <w:rsid w:val="00453F83"/>
    <w:rsid w:val="00455759"/>
    <w:rsid w:val="00455A25"/>
    <w:rsid w:val="0045747D"/>
    <w:rsid w:val="00457BA7"/>
    <w:rsid w:val="00461D38"/>
    <w:rsid w:val="00462E78"/>
    <w:rsid w:val="00462F4F"/>
    <w:rsid w:val="00467B81"/>
    <w:rsid w:val="00467C1A"/>
    <w:rsid w:val="00467DE0"/>
    <w:rsid w:val="00467E83"/>
    <w:rsid w:val="00470ECD"/>
    <w:rsid w:val="00472269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6374"/>
    <w:rsid w:val="004A7885"/>
    <w:rsid w:val="004B0552"/>
    <w:rsid w:val="004B1564"/>
    <w:rsid w:val="004B2470"/>
    <w:rsid w:val="004B2EF3"/>
    <w:rsid w:val="004B3710"/>
    <w:rsid w:val="004B4260"/>
    <w:rsid w:val="004B488D"/>
    <w:rsid w:val="004B618A"/>
    <w:rsid w:val="004B71B1"/>
    <w:rsid w:val="004C0057"/>
    <w:rsid w:val="004C0A9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BE2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07FCB"/>
    <w:rsid w:val="00510281"/>
    <w:rsid w:val="0051112D"/>
    <w:rsid w:val="00511C72"/>
    <w:rsid w:val="00511E76"/>
    <w:rsid w:val="00515841"/>
    <w:rsid w:val="00516A23"/>
    <w:rsid w:val="00517B5B"/>
    <w:rsid w:val="00520013"/>
    <w:rsid w:val="005202E8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E65"/>
    <w:rsid w:val="00544D65"/>
    <w:rsid w:val="00546E19"/>
    <w:rsid w:val="00546F69"/>
    <w:rsid w:val="00550CCC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B0FE6"/>
    <w:rsid w:val="005B1005"/>
    <w:rsid w:val="005B2500"/>
    <w:rsid w:val="005B41F5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886"/>
    <w:rsid w:val="005D128B"/>
    <w:rsid w:val="005D3EF1"/>
    <w:rsid w:val="005D42AA"/>
    <w:rsid w:val="005D4A2D"/>
    <w:rsid w:val="005D5C77"/>
    <w:rsid w:val="005D67DA"/>
    <w:rsid w:val="005E098C"/>
    <w:rsid w:val="005E0D57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1B35"/>
    <w:rsid w:val="00603769"/>
    <w:rsid w:val="0060446A"/>
    <w:rsid w:val="00605D19"/>
    <w:rsid w:val="0060606F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30C1C"/>
    <w:rsid w:val="00630F97"/>
    <w:rsid w:val="006316C8"/>
    <w:rsid w:val="00631D72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12AE"/>
    <w:rsid w:val="006517AA"/>
    <w:rsid w:val="00654C25"/>
    <w:rsid w:val="00655390"/>
    <w:rsid w:val="00656987"/>
    <w:rsid w:val="00656D81"/>
    <w:rsid w:val="00661237"/>
    <w:rsid w:val="00662813"/>
    <w:rsid w:val="00662CA2"/>
    <w:rsid w:val="00663C7D"/>
    <w:rsid w:val="00663E50"/>
    <w:rsid w:val="00664F33"/>
    <w:rsid w:val="00666FB9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2D2D"/>
    <w:rsid w:val="00683259"/>
    <w:rsid w:val="00683A85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A0C13"/>
    <w:rsid w:val="006A0F83"/>
    <w:rsid w:val="006A1305"/>
    <w:rsid w:val="006A241D"/>
    <w:rsid w:val="006A33BE"/>
    <w:rsid w:val="006A3B2B"/>
    <w:rsid w:val="006B1169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20CD9"/>
    <w:rsid w:val="0072107B"/>
    <w:rsid w:val="0072285A"/>
    <w:rsid w:val="007229F0"/>
    <w:rsid w:val="00723060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62B4"/>
    <w:rsid w:val="00746737"/>
    <w:rsid w:val="00746D51"/>
    <w:rsid w:val="007504A1"/>
    <w:rsid w:val="00751C2D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38DB"/>
    <w:rsid w:val="00844CAE"/>
    <w:rsid w:val="00845336"/>
    <w:rsid w:val="008473AA"/>
    <w:rsid w:val="00850E7F"/>
    <w:rsid w:val="00851628"/>
    <w:rsid w:val="00851A25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19"/>
    <w:rsid w:val="00883EEE"/>
    <w:rsid w:val="00885133"/>
    <w:rsid w:val="0089004C"/>
    <w:rsid w:val="008925C4"/>
    <w:rsid w:val="00893DC0"/>
    <w:rsid w:val="008947AC"/>
    <w:rsid w:val="008975FC"/>
    <w:rsid w:val="00897C8F"/>
    <w:rsid w:val="008A0693"/>
    <w:rsid w:val="008A078B"/>
    <w:rsid w:val="008A1214"/>
    <w:rsid w:val="008A13A6"/>
    <w:rsid w:val="008A2F98"/>
    <w:rsid w:val="008A316D"/>
    <w:rsid w:val="008A43AA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6F70"/>
    <w:rsid w:val="008B709B"/>
    <w:rsid w:val="008B7801"/>
    <w:rsid w:val="008C0E38"/>
    <w:rsid w:val="008C19CE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2AFB"/>
    <w:rsid w:val="00922DC7"/>
    <w:rsid w:val="00923692"/>
    <w:rsid w:val="00923D73"/>
    <w:rsid w:val="00927400"/>
    <w:rsid w:val="00931494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61A1"/>
    <w:rsid w:val="00946A0E"/>
    <w:rsid w:val="00951923"/>
    <w:rsid w:val="009527EC"/>
    <w:rsid w:val="00953212"/>
    <w:rsid w:val="00953E8B"/>
    <w:rsid w:val="009540D2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3D76"/>
    <w:rsid w:val="00974217"/>
    <w:rsid w:val="00974FAC"/>
    <w:rsid w:val="00975256"/>
    <w:rsid w:val="009758B5"/>
    <w:rsid w:val="00975B01"/>
    <w:rsid w:val="00980211"/>
    <w:rsid w:val="00980ECD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37D0"/>
    <w:rsid w:val="009D5423"/>
    <w:rsid w:val="009D6610"/>
    <w:rsid w:val="009D7302"/>
    <w:rsid w:val="009D7F54"/>
    <w:rsid w:val="009E0491"/>
    <w:rsid w:val="009E104C"/>
    <w:rsid w:val="009E34BE"/>
    <w:rsid w:val="009E35AA"/>
    <w:rsid w:val="009E378B"/>
    <w:rsid w:val="009E4558"/>
    <w:rsid w:val="009E6242"/>
    <w:rsid w:val="009E7759"/>
    <w:rsid w:val="009F06FF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53A7"/>
    <w:rsid w:val="00A053CC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602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7D9"/>
    <w:rsid w:val="00A96989"/>
    <w:rsid w:val="00A979DA"/>
    <w:rsid w:val="00A97ADE"/>
    <w:rsid w:val="00AA0038"/>
    <w:rsid w:val="00AA3717"/>
    <w:rsid w:val="00AA398C"/>
    <w:rsid w:val="00AA50F2"/>
    <w:rsid w:val="00AA683C"/>
    <w:rsid w:val="00AA6BF5"/>
    <w:rsid w:val="00AB3360"/>
    <w:rsid w:val="00AB4400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37C9"/>
    <w:rsid w:val="00B34867"/>
    <w:rsid w:val="00B3583A"/>
    <w:rsid w:val="00B372C8"/>
    <w:rsid w:val="00B376A7"/>
    <w:rsid w:val="00B40D74"/>
    <w:rsid w:val="00B426EE"/>
    <w:rsid w:val="00B44586"/>
    <w:rsid w:val="00B45672"/>
    <w:rsid w:val="00B45BD0"/>
    <w:rsid w:val="00B4740F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5DDA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4398"/>
    <w:rsid w:val="00CF4FDE"/>
    <w:rsid w:val="00CF5623"/>
    <w:rsid w:val="00CF7E9D"/>
    <w:rsid w:val="00D01C2C"/>
    <w:rsid w:val="00D0347C"/>
    <w:rsid w:val="00D0467A"/>
    <w:rsid w:val="00D04E9C"/>
    <w:rsid w:val="00D04F2E"/>
    <w:rsid w:val="00D05187"/>
    <w:rsid w:val="00D0543A"/>
    <w:rsid w:val="00D06191"/>
    <w:rsid w:val="00D06300"/>
    <w:rsid w:val="00D0704D"/>
    <w:rsid w:val="00D10FCF"/>
    <w:rsid w:val="00D11607"/>
    <w:rsid w:val="00D124F6"/>
    <w:rsid w:val="00D12767"/>
    <w:rsid w:val="00D12E65"/>
    <w:rsid w:val="00D145AE"/>
    <w:rsid w:val="00D14A37"/>
    <w:rsid w:val="00D16488"/>
    <w:rsid w:val="00D16BB2"/>
    <w:rsid w:val="00D17838"/>
    <w:rsid w:val="00D209EF"/>
    <w:rsid w:val="00D20ED0"/>
    <w:rsid w:val="00D223B6"/>
    <w:rsid w:val="00D230E1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4339"/>
    <w:rsid w:val="00D44B59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3FD4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B225E"/>
    <w:rsid w:val="00DB2938"/>
    <w:rsid w:val="00DB5C37"/>
    <w:rsid w:val="00DB66D9"/>
    <w:rsid w:val="00DB68F4"/>
    <w:rsid w:val="00DC2695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590E"/>
    <w:rsid w:val="00DF6185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7A18"/>
    <w:rsid w:val="00E37EC8"/>
    <w:rsid w:val="00E40DAE"/>
    <w:rsid w:val="00E416CB"/>
    <w:rsid w:val="00E42222"/>
    <w:rsid w:val="00E43264"/>
    <w:rsid w:val="00E43839"/>
    <w:rsid w:val="00E449A6"/>
    <w:rsid w:val="00E45687"/>
    <w:rsid w:val="00E4705B"/>
    <w:rsid w:val="00E50997"/>
    <w:rsid w:val="00E509E0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5260"/>
    <w:rsid w:val="00E6642B"/>
    <w:rsid w:val="00E717D8"/>
    <w:rsid w:val="00E719F4"/>
    <w:rsid w:val="00E7717D"/>
    <w:rsid w:val="00E80953"/>
    <w:rsid w:val="00E8177F"/>
    <w:rsid w:val="00E83960"/>
    <w:rsid w:val="00E855FF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1060"/>
    <w:rsid w:val="00EC12B2"/>
    <w:rsid w:val="00EC12D1"/>
    <w:rsid w:val="00EC244E"/>
    <w:rsid w:val="00EC5A51"/>
    <w:rsid w:val="00EC64D7"/>
    <w:rsid w:val="00ED5254"/>
    <w:rsid w:val="00ED5F84"/>
    <w:rsid w:val="00ED6629"/>
    <w:rsid w:val="00ED7447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6A01"/>
    <w:rsid w:val="00FC036E"/>
    <w:rsid w:val="00FC0C65"/>
    <w:rsid w:val="00FC13BE"/>
    <w:rsid w:val="00FC2319"/>
    <w:rsid w:val="00FC358D"/>
    <w:rsid w:val="00FC36BB"/>
    <w:rsid w:val="00FC47A9"/>
    <w:rsid w:val="00FC6D01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1F-4344-BE75-EF2DB75A64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1F-4344-BE75-EF2DB75A64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1F-4344-BE75-EF2DB75A64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1F-4344-BE75-EF2DB75A64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1F-4344-BE75-EF2DB75A64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1F-4344-BE75-EF2DB75A64D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1F-4344-BE75-EF2DB75A64D7}"/>
              </c:ext>
            </c:extLst>
          </c:dPt>
          <c:dLbls>
            <c:dLbl>
              <c:idx val="4"/>
              <c:layout>
                <c:manualLayout>
                  <c:x val="-2.7777777777778286E-3"/>
                  <c:y val="-2.02326789946875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61F-4344-BE75-EF2DB75A64D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1894118413926662E-2"/>
                  <c:y val="3.549760112961667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61F-4344-BE75-EF2DB75A64D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61F-4344-BE75-EF2DB75A64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Sheet4!$A$1:$A$7</c:f>
              <c:strCache>
                <c:ptCount val="7"/>
                <c:pt idx="0">
                  <c:v>Chile </c:v>
                </c:pt>
                <c:pt idx="1">
                  <c:v>South Africa </c:v>
                </c:pt>
                <c:pt idx="2">
                  <c:v>New Zealand</c:v>
                </c:pt>
                <c:pt idx="3">
                  <c:v>Australia </c:v>
                </c:pt>
                <c:pt idx="4">
                  <c:v>Peru</c:v>
                </c:pt>
                <c:pt idx="5">
                  <c:v>Argentina </c:v>
                </c:pt>
                <c:pt idx="6">
                  <c:v>Uruguay</c:v>
                </c:pt>
              </c:strCache>
            </c:strRef>
          </c:cat>
          <c:val>
            <c:numRef>
              <c:f>Sheet4!$B$1:$B$7</c:f>
              <c:numCache>
                <c:formatCode>#,##0</c:formatCode>
                <c:ptCount val="7"/>
                <c:pt idx="0">
                  <c:v>526775</c:v>
                </c:pt>
                <c:pt idx="1">
                  <c:v>497644</c:v>
                </c:pt>
                <c:pt idx="2">
                  <c:v>478311</c:v>
                </c:pt>
                <c:pt idx="3">
                  <c:v>314479</c:v>
                </c:pt>
                <c:pt idx="4">
                  <c:v>96381</c:v>
                </c:pt>
                <c:pt idx="5">
                  <c:v>26230</c:v>
                </c:pt>
                <c:pt idx="6">
                  <c:v>2145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61F-4344-BE75-EF2DB75A64D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Malaysia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#,##0</c:formatCode>
                <c:ptCount val="5"/>
                <c:pt idx="0">
                  <c:v>89155</c:v>
                </c:pt>
                <c:pt idx="1">
                  <c:v>93550</c:v>
                </c:pt>
                <c:pt idx="2">
                  <c:v>100769</c:v>
                </c:pt>
                <c:pt idx="3">
                  <c:v>97214</c:v>
                </c:pt>
                <c:pt idx="4">
                  <c:v>107194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F1-43BF-B036-DEF6F2EA153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Hong Kong, China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Sheet1!$B$3:$F$3</c:f>
              <c:numCache>
                <c:formatCode>#,##0</c:formatCode>
                <c:ptCount val="5"/>
                <c:pt idx="0">
                  <c:v>84734</c:v>
                </c:pt>
                <c:pt idx="1">
                  <c:v>55176</c:v>
                </c:pt>
                <c:pt idx="2">
                  <c:v>100773</c:v>
                </c:pt>
                <c:pt idx="3">
                  <c:v>96383</c:v>
                </c:pt>
                <c:pt idx="4">
                  <c:v>106333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F1-43BF-B036-DEF6F2EA153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China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Sheet1!$B$4:$F$4</c:f>
              <c:numCache>
                <c:formatCode>#,##0</c:formatCode>
                <c:ptCount val="5"/>
                <c:pt idx="0">
                  <c:v>20674</c:v>
                </c:pt>
                <c:pt idx="1">
                  <c:v>43391</c:v>
                </c:pt>
                <c:pt idx="2">
                  <c:v>51683</c:v>
                </c:pt>
                <c:pt idx="3">
                  <c:v>49445</c:v>
                </c:pt>
                <c:pt idx="4">
                  <c:v>69942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F1-43BF-B036-DEF6F2EA153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Bangladesh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Sheet1!$B$5:$F$5</c:f>
              <c:numCache>
                <c:formatCode>#,##0</c:formatCode>
                <c:ptCount val="5"/>
                <c:pt idx="0">
                  <c:v>40878</c:v>
                </c:pt>
                <c:pt idx="1">
                  <c:v>39240</c:v>
                </c:pt>
                <c:pt idx="2">
                  <c:v>52239</c:v>
                </c:pt>
                <c:pt idx="3">
                  <c:v>67690</c:v>
                </c:pt>
                <c:pt idx="4">
                  <c:v>59656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F1-43BF-B036-DEF6F2EA153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Japan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Sheet1!$B$6:$F$6</c:f>
              <c:numCache>
                <c:formatCode>#,##0</c:formatCode>
                <c:ptCount val="5"/>
                <c:pt idx="0">
                  <c:v>56717</c:v>
                </c:pt>
                <c:pt idx="1">
                  <c:v>56802</c:v>
                </c:pt>
                <c:pt idx="2">
                  <c:v>54604</c:v>
                </c:pt>
                <c:pt idx="3">
                  <c:v>33096</c:v>
                </c:pt>
                <c:pt idx="4">
                  <c:v>35690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5F1-43BF-B036-DEF6F2EA153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Singapore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Sheet1!$B$7:$F$7</c:f>
              <c:numCache>
                <c:formatCode>#,##0</c:formatCode>
                <c:ptCount val="5"/>
                <c:pt idx="0">
                  <c:v>35362</c:v>
                </c:pt>
                <c:pt idx="1">
                  <c:v>37043</c:v>
                </c:pt>
                <c:pt idx="2">
                  <c:v>39805</c:v>
                </c:pt>
                <c:pt idx="3">
                  <c:v>36866</c:v>
                </c:pt>
                <c:pt idx="4">
                  <c:v>33943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5F1-43BF-B036-DEF6F2EA1535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Taipei, Chinese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Sheet1!$B$8:$F$8</c:f>
              <c:numCache>
                <c:formatCode>#,##0</c:formatCode>
                <c:ptCount val="5"/>
                <c:pt idx="0">
                  <c:v>14783</c:v>
                </c:pt>
                <c:pt idx="1">
                  <c:v>15064</c:v>
                </c:pt>
                <c:pt idx="2">
                  <c:v>10380</c:v>
                </c:pt>
                <c:pt idx="3">
                  <c:v>13159</c:v>
                </c:pt>
                <c:pt idx="4">
                  <c:v>20179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5F1-43BF-B036-DEF6F2EA1535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India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Sheet1!$B$9:$F$9</c:f>
              <c:numCache>
                <c:formatCode>#,##0</c:formatCode>
                <c:ptCount val="5"/>
                <c:pt idx="0">
                  <c:v>12192</c:v>
                </c:pt>
                <c:pt idx="1">
                  <c:v>7639</c:v>
                </c:pt>
                <c:pt idx="2">
                  <c:v>10129</c:v>
                </c:pt>
                <c:pt idx="3">
                  <c:v>19540</c:v>
                </c:pt>
                <c:pt idx="4">
                  <c:v>14218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5F1-43BF-B036-DEF6F2EA1535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Korea, Republic of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Sheet1!$B$10:$F$10</c:f>
              <c:numCache>
                <c:formatCode>#,##0</c:formatCode>
                <c:ptCount val="5"/>
                <c:pt idx="0">
                  <c:v>2583</c:v>
                </c:pt>
                <c:pt idx="1">
                  <c:v>5019</c:v>
                </c:pt>
                <c:pt idx="2">
                  <c:v>10449</c:v>
                </c:pt>
                <c:pt idx="3">
                  <c:v>12474</c:v>
                </c:pt>
                <c:pt idx="4">
                  <c:v>13380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5F1-43BF-B036-DEF6F2EA1535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Indonesia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Sheet1!$B$11:$F$11</c:f>
              <c:numCache>
                <c:formatCode>#,##0</c:formatCode>
                <c:ptCount val="5"/>
                <c:pt idx="0">
                  <c:v>12523</c:v>
                </c:pt>
                <c:pt idx="1">
                  <c:v>6761</c:v>
                </c:pt>
                <c:pt idx="2">
                  <c:v>10392</c:v>
                </c:pt>
                <c:pt idx="3">
                  <c:v>4233</c:v>
                </c:pt>
                <c:pt idx="4">
                  <c:v>12430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5F1-43BF-B036-DEF6F2EA1535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Viet Nam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Sheet1!$B$12:$F$12</c:f>
              <c:numCache>
                <c:formatCode>#,##0</c:formatCode>
                <c:ptCount val="5"/>
                <c:pt idx="0">
                  <c:v>2800</c:v>
                </c:pt>
                <c:pt idx="1">
                  <c:v>5940</c:v>
                </c:pt>
                <c:pt idx="2">
                  <c:v>9415</c:v>
                </c:pt>
                <c:pt idx="3">
                  <c:v>15131</c:v>
                </c:pt>
                <c:pt idx="4">
                  <c:v>11007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5F1-43BF-B036-DEF6F2EA1535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Sri Lanka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Sheet1!$B$13:$F$13</c:f>
              <c:numCache>
                <c:formatCode>#,##0</c:formatCode>
                <c:ptCount val="5"/>
                <c:pt idx="0">
                  <c:v>3349</c:v>
                </c:pt>
                <c:pt idx="1">
                  <c:v>4020</c:v>
                </c:pt>
                <c:pt idx="2">
                  <c:v>4189</c:v>
                </c:pt>
                <c:pt idx="3">
                  <c:v>3960</c:v>
                </c:pt>
                <c:pt idx="4">
                  <c:v>6388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5F1-43BF-B036-DEF6F2EA1535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Maldives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Sheet1!$B$14:$F$14</c:f>
              <c:numCache>
                <c:formatCode>#,##0</c:formatCode>
                <c:ptCount val="5"/>
                <c:pt idx="0">
                  <c:v>2218</c:v>
                </c:pt>
                <c:pt idx="1">
                  <c:v>2486</c:v>
                </c:pt>
                <c:pt idx="2">
                  <c:v>2858</c:v>
                </c:pt>
                <c:pt idx="3">
                  <c:v>1002</c:v>
                </c:pt>
                <c:pt idx="4">
                  <c:v>3085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5F1-43BF-B036-DEF6F2EA1535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Thailand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Sheet1!$B$15:$F$15</c:f>
              <c:numCache>
                <c:formatCode>#,##0</c:formatCode>
                <c:ptCount val="5"/>
                <c:pt idx="0">
                  <c:v>832</c:v>
                </c:pt>
                <c:pt idx="1">
                  <c:v>2281</c:v>
                </c:pt>
                <c:pt idx="2">
                  <c:v>1820</c:v>
                </c:pt>
                <c:pt idx="3">
                  <c:v>881</c:v>
                </c:pt>
                <c:pt idx="4">
                  <c:v>2068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5F1-43BF-B036-DEF6F2EA1535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Cambodia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Sheet1!$B$16:$F$16</c:f>
              <c:numCache>
                <c:formatCode>#,##0</c:formatCode>
                <c:ptCount val="5"/>
                <c:pt idx="0">
                  <c:v>158</c:v>
                </c:pt>
                <c:pt idx="1">
                  <c:v>313</c:v>
                </c:pt>
                <c:pt idx="2">
                  <c:v>969</c:v>
                </c:pt>
                <c:pt idx="3">
                  <c:v>1591</c:v>
                </c:pt>
                <c:pt idx="4">
                  <c:v>823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5F1-43BF-B036-DEF6F2EA1535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Macao, China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Sheet1!$B$17:$F$17</c:f>
              <c:numCache>
                <c:formatCode>#,##0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66</c:v>
                </c:pt>
                <c:pt idx="3">
                  <c:v>130</c:v>
                </c:pt>
                <c:pt idx="4">
                  <c:v>760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5F1-43BF-B036-DEF6F2EA1535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Pakistan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Sheet1!$B$18:$F$18</c:f>
              <c:numCache>
                <c:formatCode>#,##0</c:formatCode>
                <c:ptCount val="5"/>
                <c:pt idx="0">
                  <c:v>1007</c:v>
                </c:pt>
                <c:pt idx="1">
                  <c:v>920</c:v>
                </c:pt>
                <c:pt idx="2">
                  <c:v>817</c:v>
                </c:pt>
                <c:pt idx="3">
                  <c:v>355</c:v>
                </c:pt>
                <c:pt idx="4">
                  <c:v>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5F1-43BF-B036-DEF6F2EA1535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Myanmar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Sheet1!$B$19:$F$19</c:f>
              <c:numCache>
                <c:formatCode>#,##0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62</c:v>
                </c:pt>
                <c:pt idx="3">
                  <c:v>47</c:v>
                </c:pt>
                <c:pt idx="4">
                  <c:v>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5F1-43BF-B036-DEF6F2EA1535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Philippines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Sheet1!$B$20:$F$20</c:f>
              <c:numCache>
                <c:formatCode>#,##0</c:formatCode>
                <c:ptCount val="5"/>
                <c:pt idx="0">
                  <c:v>6121</c:v>
                </c:pt>
                <c:pt idx="1">
                  <c:v>8670</c:v>
                </c:pt>
                <c:pt idx="2">
                  <c:v>3890</c:v>
                </c:pt>
                <c:pt idx="3">
                  <c:v>466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55F1-43BF-B036-DEF6F2EA1535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Timor-Leste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Sheet1!$B$21:$F$21</c:f>
              <c:numCache>
                <c:formatCode>#,##0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55F1-43BF-B036-DEF6F2EA1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144616"/>
        <c:axId val="493145400"/>
        <c:axId val="0"/>
      </c:bar3DChart>
      <c:catAx>
        <c:axId val="493144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145400"/>
        <c:crosses val="autoZero"/>
        <c:auto val="1"/>
        <c:lblAlgn val="ctr"/>
        <c:lblOffset val="100"/>
        <c:noMultiLvlLbl val="0"/>
      </c:catAx>
      <c:valAx>
        <c:axId val="493145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144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556835104526974E-2"/>
          <c:y val="0.70781946413147834"/>
          <c:w val="0.90744191007137875"/>
          <c:h val="0.277847873649870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5B4B-EE1A-42C5-92AD-270BE41C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Elma</cp:lastModifiedBy>
  <cp:revision>2</cp:revision>
  <cp:lastPrinted>2017-09-15T08:19:00Z</cp:lastPrinted>
  <dcterms:created xsi:type="dcterms:W3CDTF">2017-09-20T08:46:00Z</dcterms:created>
  <dcterms:modified xsi:type="dcterms:W3CDTF">2017-09-20T08:46:00Z</dcterms:modified>
</cp:coreProperties>
</file>