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98" w:type="pct"/>
        <w:tblCellSpacing w:w="0" w:type="dxa"/>
        <w:tblInd w:w="-743" w:type="dxa"/>
        <w:tblLayout w:type="fixed"/>
        <w:tblCellMar>
          <w:top w:w="15" w:type="dxa"/>
          <w:bottom w:w="15" w:type="dxa"/>
        </w:tblCellMar>
        <w:tblLook w:val="00A0" w:firstRow="1" w:lastRow="0" w:firstColumn="1" w:lastColumn="0" w:noHBand="0" w:noVBand="0"/>
      </w:tblPr>
      <w:tblGrid>
        <w:gridCol w:w="10242"/>
      </w:tblGrid>
      <w:tr w:rsidR="00F553C7" w:rsidRPr="00901D81" w:rsidTr="00842DC6">
        <w:trPr>
          <w:trHeight w:val="15677"/>
          <w:tblCellSpacing w:w="0" w:type="dxa"/>
        </w:trPr>
        <w:tc>
          <w:tcPr>
            <w:tcW w:w="10242" w:type="dxa"/>
            <w:shd w:val="clear" w:color="auto" w:fill="auto"/>
            <w:vAlign w:val="center"/>
          </w:tcPr>
          <w:tbl>
            <w:tblPr>
              <w:tblW w:w="10354"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354"/>
            </w:tblGrid>
            <w:tr w:rsidR="00F553C7" w:rsidRPr="008C6E3A" w:rsidTr="0032083B">
              <w:trPr>
                <w:trHeight w:val="1091"/>
                <w:tblCellSpacing w:w="0" w:type="dxa"/>
              </w:trPr>
              <w:tc>
                <w:tcPr>
                  <w:tcW w:w="10354"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Pr="00D920DA" w:rsidRDefault="00D920DA" w:rsidP="00DA4B02">
                                        <w:pPr>
                                          <w:spacing w:after="0" w:line="240" w:lineRule="auto"/>
                                          <w:rPr>
                                            <w:rFonts w:ascii="Comic Sans MS" w:hAnsi="Comic Sans MS"/>
                                            <w:b/>
                                            <w:i/>
                                            <w:sz w:val="32"/>
                                            <w:szCs w:val="32"/>
                                            <w:lang w:val="af-ZA"/>
                                          </w:rPr>
                                        </w:pPr>
                                        <w:r>
                                          <w:rPr>
                                            <w:rFonts w:ascii="Comic Sans MS" w:hAnsi="Comic Sans MS"/>
                                            <w:b/>
                                            <w:i/>
                                            <w:sz w:val="32"/>
                                            <w:szCs w:val="32"/>
                                            <w:lang w:val="af-ZA"/>
                                          </w:rPr>
                                          <w:t xml:space="preserve">UIT DIE PEN VAN DIE </w:t>
                                        </w:r>
                                        <w:r w:rsidR="00044293" w:rsidRPr="00D920DA">
                                          <w:rPr>
                                            <w:rFonts w:ascii="Comic Sans MS" w:hAnsi="Comic Sans MS"/>
                                            <w:b/>
                                            <w:i/>
                                            <w:sz w:val="32"/>
                                            <w:szCs w:val="32"/>
                                            <w:lang w:val="af-ZA"/>
                                          </w:rPr>
                                          <w:t>CEO</w:t>
                                        </w:r>
                                        <w:r w:rsidR="00B312CB" w:rsidRPr="00D920DA">
                                          <w:rPr>
                                            <w:rFonts w:ascii="Comic Sans MS" w:hAnsi="Comic Sans MS"/>
                                            <w:b/>
                                            <w:i/>
                                            <w:sz w:val="32"/>
                                            <w:szCs w:val="32"/>
                                            <w:lang w:val="af-ZA"/>
                                          </w:rPr>
                                          <w:t xml:space="preserve"> (48</w:t>
                                        </w:r>
                                        <w:r w:rsidR="00044293" w:rsidRPr="00D920DA">
                                          <w:rPr>
                                            <w:rFonts w:ascii="Comic Sans MS" w:hAnsi="Comic Sans MS"/>
                                            <w:b/>
                                            <w:i/>
                                            <w:sz w:val="32"/>
                                            <w:szCs w:val="32"/>
                                            <w:lang w:val="af-ZA"/>
                                          </w:rPr>
                                          <w:t>/17)</w:t>
                                        </w:r>
                                      </w:p>
                                      <w:p w:rsidR="00044293" w:rsidRPr="00D920DA" w:rsidRDefault="00044293" w:rsidP="00DA4B02">
                                        <w:pPr>
                                          <w:spacing w:line="240" w:lineRule="auto"/>
                                          <w:rPr>
                                            <w:rFonts w:ascii="Comic Sans MS" w:hAnsi="Comic Sans MS"/>
                                            <w:b/>
                                            <w:color w:val="00B050"/>
                                            <w:sz w:val="20"/>
                                            <w:szCs w:val="20"/>
                                            <w:lang w:val="af-ZA"/>
                                          </w:rPr>
                                        </w:pPr>
                                        <w:r w:rsidRPr="00D920DA">
                                          <w:rPr>
                                            <w:rFonts w:ascii="Comic Sans MS" w:hAnsi="Comic Sans MS"/>
                                            <w:b/>
                                            <w:color w:val="00B050"/>
                                            <w:sz w:val="20"/>
                                            <w:szCs w:val="20"/>
                                            <w:lang w:val="af-ZA"/>
                                          </w:rPr>
                                          <w:t>(</w:t>
                                        </w:r>
                                        <w:r w:rsidR="00D920DA">
                                          <w:rPr>
                                            <w:rFonts w:ascii="Comic Sans MS" w:hAnsi="Comic Sans MS"/>
                                            <w:b/>
                                            <w:color w:val="00B050"/>
                                            <w:sz w:val="20"/>
                                            <w:szCs w:val="20"/>
                                            <w:lang w:val="af-ZA"/>
                                          </w:rPr>
                                          <w:t xml:space="preserve">Volg my op </w:t>
                                        </w:r>
                                        <w:r w:rsidRPr="00D920DA">
                                          <w:rPr>
                                            <w:rFonts w:ascii="Comic Sans MS" w:hAnsi="Comic Sans MS"/>
                                            <w:b/>
                                            <w:color w:val="00B050"/>
                                            <w:sz w:val="20"/>
                                            <w:szCs w:val="20"/>
                                            <w:lang w:val="af-ZA"/>
                                          </w:rPr>
                                          <w:t>Twitter justchad_cga)</w:t>
                                        </w:r>
                                      </w:p>
                                      <w:p w:rsidR="00044293" w:rsidRPr="00D920DA" w:rsidRDefault="006B457B" w:rsidP="00DA4B02">
                                        <w:pPr>
                                          <w:spacing w:line="240" w:lineRule="auto"/>
                                          <w:rPr>
                                            <w:lang w:val="af-ZA"/>
                                          </w:rPr>
                                        </w:pPr>
                                        <w:r w:rsidRPr="00D920DA">
                                          <w:rPr>
                                            <w:rFonts w:ascii="Comic Sans MS" w:hAnsi="Comic Sans MS"/>
                                            <w:i/>
                                            <w:sz w:val="20"/>
                                            <w:szCs w:val="20"/>
                                            <w:lang w:val="af-ZA"/>
                                          </w:rPr>
                                          <w:t xml:space="preserve">Justin Chadwick </w:t>
                                        </w:r>
                                        <w:r w:rsidR="00B312CB" w:rsidRPr="00D920DA">
                                          <w:rPr>
                                            <w:rFonts w:ascii="Comic Sans MS" w:hAnsi="Comic Sans MS"/>
                                            <w:i/>
                                            <w:sz w:val="20"/>
                                            <w:szCs w:val="20"/>
                                            <w:lang w:val="af-ZA"/>
                                          </w:rPr>
                                          <w:t>15</w:t>
                                        </w:r>
                                        <w:r w:rsidR="00D920DA">
                                          <w:rPr>
                                            <w:rFonts w:ascii="Comic Sans MS" w:hAnsi="Comic Sans MS"/>
                                            <w:i/>
                                            <w:sz w:val="20"/>
                                            <w:szCs w:val="20"/>
                                            <w:lang w:val="af-ZA"/>
                                          </w:rPr>
                                          <w:t xml:space="preserve"> Des</w:t>
                                        </w:r>
                                        <w:r w:rsidRPr="00D920DA">
                                          <w:rPr>
                                            <w:rFonts w:ascii="Comic Sans MS" w:hAnsi="Comic Sans MS"/>
                                            <w:i/>
                                            <w:sz w:val="20"/>
                                            <w:szCs w:val="20"/>
                                            <w:lang w:val="af-ZA"/>
                                          </w:rPr>
                                          <w:t>ember</w:t>
                                        </w:r>
                                        <w:r w:rsidR="00783644" w:rsidRPr="00D920DA">
                                          <w:rPr>
                                            <w:rFonts w:ascii="Comic Sans MS" w:hAnsi="Comic Sans MS"/>
                                            <w:i/>
                                            <w:sz w:val="20"/>
                                            <w:szCs w:val="20"/>
                                            <w:lang w:val="af-ZA"/>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Pr="00D920DA" w:rsidRDefault="00D920DA" w:rsidP="00DA4B02">
                                  <w:pPr>
                                    <w:spacing w:after="0" w:line="240" w:lineRule="auto"/>
                                    <w:rPr>
                                      <w:rFonts w:ascii="Comic Sans MS" w:hAnsi="Comic Sans MS"/>
                                      <w:b/>
                                      <w:i/>
                                      <w:sz w:val="32"/>
                                      <w:szCs w:val="32"/>
                                      <w:lang w:val="af-ZA"/>
                                    </w:rPr>
                                  </w:pPr>
                                  <w:r>
                                    <w:rPr>
                                      <w:rFonts w:ascii="Comic Sans MS" w:hAnsi="Comic Sans MS"/>
                                      <w:b/>
                                      <w:i/>
                                      <w:sz w:val="32"/>
                                      <w:szCs w:val="32"/>
                                      <w:lang w:val="af-ZA"/>
                                    </w:rPr>
                                    <w:t xml:space="preserve">UIT DIE PEN VAN DIE </w:t>
                                  </w:r>
                                  <w:r w:rsidR="00044293" w:rsidRPr="00D920DA">
                                    <w:rPr>
                                      <w:rFonts w:ascii="Comic Sans MS" w:hAnsi="Comic Sans MS"/>
                                      <w:b/>
                                      <w:i/>
                                      <w:sz w:val="32"/>
                                      <w:szCs w:val="32"/>
                                      <w:lang w:val="af-ZA"/>
                                    </w:rPr>
                                    <w:t>CEO</w:t>
                                  </w:r>
                                  <w:r w:rsidR="00B312CB" w:rsidRPr="00D920DA">
                                    <w:rPr>
                                      <w:rFonts w:ascii="Comic Sans MS" w:hAnsi="Comic Sans MS"/>
                                      <w:b/>
                                      <w:i/>
                                      <w:sz w:val="32"/>
                                      <w:szCs w:val="32"/>
                                      <w:lang w:val="af-ZA"/>
                                    </w:rPr>
                                    <w:t xml:space="preserve"> (48</w:t>
                                  </w:r>
                                  <w:r w:rsidR="00044293" w:rsidRPr="00D920DA">
                                    <w:rPr>
                                      <w:rFonts w:ascii="Comic Sans MS" w:hAnsi="Comic Sans MS"/>
                                      <w:b/>
                                      <w:i/>
                                      <w:sz w:val="32"/>
                                      <w:szCs w:val="32"/>
                                      <w:lang w:val="af-ZA"/>
                                    </w:rPr>
                                    <w:t>/17)</w:t>
                                  </w:r>
                                </w:p>
                                <w:p w:rsidR="00044293" w:rsidRPr="00D920DA" w:rsidRDefault="00044293" w:rsidP="00DA4B02">
                                  <w:pPr>
                                    <w:spacing w:line="240" w:lineRule="auto"/>
                                    <w:rPr>
                                      <w:rFonts w:ascii="Comic Sans MS" w:hAnsi="Comic Sans MS"/>
                                      <w:b/>
                                      <w:color w:val="00B050"/>
                                      <w:sz w:val="20"/>
                                      <w:szCs w:val="20"/>
                                      <w:lang w:val="af-ZA"/>
                                    </w:rPr>
                                  </w:pPr>
                                  <w:r w:rsidRPr="00D920DA">
                                    <w:rPr>
                                      <w:rFonts w:ascii="Comic Sans MS" w:hAnsi="Comic Sans MS"/>
                                      <w:b/>
                                      <w:color w:val="00B050"/>
                                      <w:sz w:val="20"/>
                                      <w:szCs w:val="20"/>
                                      <w:lang w:val="af-ZA"/>
                                    </w:rPr>
                                    <w:t>(</w:t>
                                  </w:r>
                                  <w:r w:rsidR="00D920DA">
                                    <w:rPr>
                                      <w:rFonts w:ascii="Comic Sans MS" w:hAnsi="Comic Sans MS"/>
                                      <w:b/>
                                      <w:color w:val="00B050"/>
                                      <w:sz w:val="20"/>
                                      <w:szCs w:val="20"/>
                                      <w:lang w:val="af-ZA"/>
                                    </w:rPr>
                                    <w:t xml:space="preserve">Volg my op </w:t>
                                  </w:r>
                                  <w:r w:rsidRPr="00D920DA">
                                    <w:rPr>
                                      <w:rFonts w:ascii="Comic Sans MS" w:hAnsi="Comic Sans MS"/>
                                      <w:b/>
                                      <w:color w:val="00B050"/>
                                      <w:sz w:val="20"/>
                                      <w:szCs w:val="20"/>
                                      <w:lang w:val="af-ZA"/>
                                    </w:rPr>
                                    <w:t>Twitter justchad_cga)</w:t>
                                  </w:r>
                                </w:p>
                                <w:p w:rsidR="00044293" w:rsidRPr="00D920DA" w:rsidRDefault="006B457B" w:rsidP="00DA4B02">
                                  <w:pPr>
                                    <w:spacing w:line="240" w:lineRule="auto"/>
                                    <w:rPr>
                                      <w:lang w:val="af-ZA"/>
                                    </w:rPr>
                                  </w:pPr>
                                  <w:r w:rsidRPr="00D920DA">
                                    <w:rPr>
                                      <w:rFonts w:ascii="Comic Sans MS" w:hAnsi="Comic Sans MS"/>
                                      <w:i/>
                                      <w:sz w:val="20"/>
                                      <w:szCs w:val="20"/>
                                      <w:lang w:val="af-ZA"/>
                                    </w:rPr>
                                    <w:t xml:space="preserve">Justin Chadwick </w:t>
                                  </w:r>
                                  <w:r w:rsidR="00B312CB" w:rsidRPr="00D920DA">
                                    <w:rPr>
                                      <w:rFonts w:ascii="Comic Sans MS" w:hAnsi="Comic Sans MS"/>
                                      <w:i/>
                                      <w:sz w:val="20"/>
                                      <w:szCs w:val="20"/>
                                      <w:lang w:val="af-ZA"/>
                                    </w:rPr>
                                    <w:t>15</w:t>
                                  </w:r>
                                  <w:r w:rsidR="00D920DA">
                                    <w:rPr>
                                      <w:rFonts w:ascii="Comic Sans MS" w:hAnsi="Comic Sans MS"/>
                                      <w:i/>
                                      <w:sz w:val="20"/>
                                      <w:szCs w:val="20"/>
                                      <w:lang w:val="af-ZA"/>
                                    </w:rPr>
                                    <w:t xml:space="preserve"> Des</w:t>
                                  </w:r>
                                  <w:r w:rsidRPr="00D920DA">
                                    <w:rPr>
                                      <w:rFonts w:ascii="Comic Sans MS" w:hAnsi="Comic Sans MS"/>
                                      <w:i/>
                                      <w:sz w:val="20"/>
                                      <w:szCs w:val="20"/>
                                      <w:lang w:val="af-ZA"/>
                                    </w:rPr>
                                    <w:t>ember</w:t>
                                  </w:r>
                                  <w:r w:rsidR="00783644" w:rsidRPr="00D920DA">
                                    <w:rPr>
                                      <w:rFonts w:ascii="Comic Sans MS" w:hAnsi="Comic Sans MS"/>
                                      <w:i/>
                                      <w:sz w:val="20"/>
                                      <w:szCs w:val="20"/>
                                      <w:lang w:val="af-ZA"/>
                                    </w:rPr>
                                    <w:t xml:space="preserve"> 2017</w:t>
                                  </w:r>
                                </w:p>
                              </w:txbxContent>
                            </v:textbox>
                            <w10:wrap type="square" anchorx="margin" anchory="margin"/>
                          </v:shape>
                        </w:pict>
                      </mc:Fallback>
                    </mc:AlternateContent>
                  </w:r>
                  <w:r w:rsidR="00AC738C">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32083B">
              <w:trPr>
                <w:trHeight w:val="35"/>
                <w:tblCellSpacing w:w="0" w:type="dxa"/>
              </w:trPr>
              <w:tc>
                <w:tcPr>
                  <w:tcW w:w="10354"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802937" w:rsidRPr="0032083B" w:rsidRDefault="00D42FAB" w:rsidP="00A4284E">
            <w:pPr>
              <w:spacing w:after="0"/>
              <w:rPr>
                <w:rFonts w:ascii="Arial" w:eastAsia="Times New Roman" w:hAnsi="Arial" w:cs="Arial"/>
                <w:b/>
                <w:i/>
                <w:color w:val="181818"/>
                <w:sz w:val="24"/>
                <w:szCs w:val="24"/>
                <w:lang w:val="en-US"/>
              </w:rPr>
            </w:pPr>
            <w:r w:rsidRPr="0032083B">
              <w:rPr>
                <w:rFonts w:ascii="Arial" w:eastAsia="Times New Roman" w:hAnsi="Arial" w:cs="Arial"/>
                <w:b/>
                <w:i/>
                <w:color w:val="181818"/>
                <w:sz w:val="24"/>
                <w:szCs w:val="24"/>
                <w:lang w:val="en-US"/>
              </w:rPr>
              <w:t>“</w:t>
            </w:r>
            <w:r w:rsidR="00FC199B">
              <w:rPr>
                <w:rFonts w:ascii="Arial" w:eastAsia="Times New Roman" w:hAnsi="Arial" w:cs="Arial"/>
                <w:b/>
                <w:i/>
                <w:color w:val="181818"/>
                <w:sz w:val="24"/>
                <w:szCs w:val="24"/>
                <w:lang w:val="en-US"/>
              </w:rPr>
              <w:t>Life is like riding a bicycle. To keep balancing you must keep moving” Albert Einstein</w:t>
            </w:r>
          </w:p>
          <w:p w:rsidR="00802937" w:rsidRPr="00802937" w:rsidRDefault="00802937" w:rsidP="00A4284E">
            <w:pPr>
              <w:spacing w:after="0"/>
              <w:rPr>
                <w:rFonts w:ascii="Arial" w:eastAsia="Times New Roman" w:hAnsi="Arial" w:cs="Arial"/>
                <w:b/>
                <w:i/>
                <w:color w:val="181818"/>
                <w:sz w:val="6"/>
                <w:szCs w:val="6"/>
                <w:lang w:val="en-US"/>
              </w:rPr>
            </w:pPr>
          </w:p>
          <w:p w:rsidR="00D920DA" w:rsidRDefault="00D920DA" w:rsidP="00D920DA">
            <w:pPr>
              <w:spacing w:after="0"/>
              <w:rPr>
                <w:rFonts w:ascii="Arial" w:eastAsia="Times New Roman" w:hAnsi="Arial" w:cs="Arial"/>
                <w:b/>
                <w:color w:val="C45911" w:themeColor="accent2" w:themeShade="BF"/>
                <w:u w:val="single"/>
                <w:lang w:val="en-US"/>
              </w:rPr>
            </w:pPr>
            <w:r>
              <w:rPr>
                <w:rFonts w:ascii="Arial" w:eastAsia="Times New Roman" w:hAnsi="Arial" w:cs="Arial"/>
                <w:b/>
                <w:color w:val="C45911" w:themeColor="accent2" w:themeShade="BF"/>
                <w:u w:val="single"/>
                <w:lang w:val="en-US"/>
              </w:rPr>
              <w:t>SAGTE SITRUS OORSIG</w:t>
            </w:r>
          </w:p>
          <w:p w:rsidR="00D920DA" w:rsidRPr="00311D1E" w:rsidRDefault="00D920DA" w:rsidP="00311D1E">
            <w:pPr>
              <w:spacing w:after="0"/>
              <w:jc w:val="both"/>
              <w:rPr>
                <w:rFonts w:ascii="Arial" w:eastAsia="Times New Roman" w:hAnsi="Arial" w:cs="Arial"/>
                <w:noProof/>
                <w:lang w:val="af-ZA"/>
              </w:rPr>
            </w:pPr>
            <w:r w:rsidRPr="00311D1E">
              <w:rPr>
                <w:rFonts w:ascii="Arial" w:eastAsia="Times New Roman" w:hAnsi="Arial" w:cs="Arial"/>
                <w:noProof/>
                <w:lang w:val="af-ZA"/>
              </w:rPr>
              <w:t xml:space="preserve">Belangrike sitrus produserende </w:t>
            </w:r>
            <w:r w:rsidR="00B8334D">
              <w:rPr>
                <w:rFonts w:ascii="Arial" w:eastAsia="Times New Roman" w:hAnsi="Arial" w:cs="Arial"/>
                <w:noProof/>
                <w:lang w:val="af-ZA"/>
              </w:rPr>
              <w:t xml:space="preserve">lande </w:t>
            </w:r>
            <w:r w:rsidRPr="00311D1E">
              <w:rPr>
                <w:rFonts w:ascii="Arial" w:eastAsia="Times New Roman" w:hAnsi="Arial" w:cs="Arial"/>
                <w:noProof/>
                <w:lang w:val="af-ZA"/>
              </w:rPr>
              <w:t xml:space="preserve">en </w:t>
            </w:r>
            <w:r w:rsidR="00B8334D">
              <w:rPr>
                <w:rFonts w:ascii="Arial" w:eastAsia="Times New Roman" w:hAnsi="Arial" w:cs="Arial"/>
                <w:noProof/>
                <w:lang w:val="af-ZA"/>
              </w:rPr>
              <w:t>uitvoerl</w:t>
            </w:r>
            <w:r w:rsidRPr="00311D1E">
              <w:rPr>
                <w:rFonts w:ascii="Arial" w:eastAsia="Times New Roman" w:hAnsi="Arial" w:cs="Arial"/>
                <w:noProof/>
                <w:lang w:val="af-ZA"/>
              </w:rPr>
              <w:t>ande regoor die wêreld</w:t>
            </w:r>
            <w:r w:rsidR="00B8334D">
              <w:rPr>
                <w:rFonts w:ascii="Arial" w:eastAsia="Times New Roman" w:hAnsi="Arial" w:cs="Arial"/>
                <w:noProof/>
                <w:lang w:val="af-ZA"/>
              </w:rPr>
              <w:t>,</w:t>
            </w:r>
            <w:bookmarkStart w:id="0" w:name="_GoBack"/>
            <w:bookmarkEnd w:id="0"/>
            <w:r w:rsidRPr="00311D1E">
              <w:rPr>
                <w:rFonts w:ascii="Arial" w:eastAsia="Times New Roman" w:hAnsi="Arial" w:cs="Arial"/>
                <w:noProof/>
                <w:lang w:val="af-ZA"/>
              </w:rPr>
              <w:t xml:space="preserve"> het hul bedryf op sagte sitrus gebou - anders as Suid-Afrika, wat deur deur lemoene oorheers word. Dit is besig om te verander, aangesien beide die plaaslike mark en uitvoerpryse meer produsente </w:t>
            </w:r>
            <w:r w:rsidR="00311D1E">
              <w:rPr>
                <w:rFonts w:ascii="Arial" w:eastAsia="Times New Roman" w:hAnsi="Arial" w:cs="Arial"/>
                <w:noProof/>
                <w:lang w:val="af-ZA"/>
              </w:rPr>
              <w:t>na</w:t>
            </w:r>
            <w:r w:rsidRPr="00311D1E">
              <w:rPr>
                <w:rFonts w:ascii="Arial" w:eastAsia="Times New Roman" w:hAnsi="Arial" w:cs="Arial"/>
                <w:noProof/>
                <w:lang w:val="af-ZA"/>
              </w:rPr>
              <w:t xml:space="preserve"> die kategorie lok.</w:t>
            </w:r>
          </w:p>
          <w:p w:rsidR="00D920DA" w:rsidRPr="00311D1E" w:rsidRDefault="00D920DA" w:rsidP="00311D1E">
            <w:pPr>
              <w:spacing w:after="0"/>
              <w:jc w:val="both"/>
              <w:rPr>
                <w:rFonts w:ascii="Arial" w:eastAsia="Times New Roman" w:hAnsi="Arial" w:cs="Arial"/>
                <w:noProof/>
                <w:lang w:val="af-ZA"/>
              </w:rPr>
            </w:pPr>
            <w:r w:rsidRPr="00311D1E">
              <w:rPr>
                <w:rFonts w:ascii="Arial" w:eastAsia="Times New Roman" w:hAnsi="Arial" w:cs="Arial"/>
                <w:noProof/>
                <w:lang w:val="af-ZA"/>
              </w:rPr>
              <w:t>Sagte sitrus is nie 'n goeie vrug vir prosessering nie - soos weerspieël word in die wisselvallige en lae prosesseringspryse. Oor die algemeen word sagte sitrus as satsumas, clementines en mandaryne ge</w:t>
            </w:r>
            <w:r w:rsidR="00311D1E">
              <w:rPr>
                <w:rFonts w:ascii="Arial" w:eastAsia="Times New Roman" w:hAnsi="Arial" w:cs="Arial"/>
                <w:noProof/>
                <w:lang w:val="af-ZA"/>
              </w:rPr>
              <w:t>k</w:t>
            </w:r>
            <w:r w:rsidRPr="00311D1E">
              <w:rPr>
                <w:rFonts w:ascii="Arial" w:eastAsia="Times New Roman" w:hAnsi="Arial" w:cs="Arial"/>
                <w:noProof/>
                <w:lang w:val="af-ZA"/>
              </w:rPr>
              <w:t>lassifiseer. Die satsumas het die afgelope drie jaar staties op sowat 1,7 tot 1,9 miljoen uitvoerkartonne gebly, terwyl clementines in 2015 van 5,7  tot 8,8 miljoen uitvoerkartonne gestyg het ('n 50% -toename). Die mandaryne het met 35% van 9,9 tot 13,4 miljoen uitvoerkartonne toegeneem; hou hierdie spasie dop aangesien hierdie tipe sal voortgaan om te groei.</w:t>
            </w:r>
          </w:p>
          <w:p w:rsidR="00D920DA" w:rsidRDefault="00D920DA" w:rsidP="00A4284E">
            <w:pPr>
              <w:spacing w:after="0"/>
              <w:rPr>
                <w:rFonts w:ascii="Arial" w:eastAsia="Times New Roman" w:hAnsi="Arial" w:cs="Arial"/>
                <w:b/>
                <w:color w:val="C45911" w:themeColor="accent2" w:themeShade="BF"/>
                <w:sz w:val="24"/>
                <w:szCs w:val="24"/>
                <w:u w:val="single"/>
                <w:lang w:val="en-US"/>
              </w:rPr>
            </w:pPr>
          </w:p>
          <w:p w:rsidR="00E378A9" w:rsidRDefault="007E6449" w:rsidP="008A1087">
            <w:pPr>
              <w:spacing w:after="0"/>
              <w:jc w:val="both"/>
              <w:rPr>
                <w:rFonts w:ascii="Arial" w:hAnsi="Arial" w:cs="Arial"/>
                <w:b/>
                <w:bCs/>
                <w:color w:val="C45911" w:themeColor="accent2" w:themeShade="BF"/>
                <w:sz w:val="24"/>
                <w:szCs w:val="24"/>
                <w:u w:val="single"/>
              </w:rPr>
            </w:pPr>
            <w:r>
              <w:rPr>
                <w:noProof/>
                <w:lang w:val="en-US"/>
              </w:rPr>
              <w:drawing>
                <wp:inline distT="0" distB="0" distL="0" distR="0" wp14:anchorId="3E26D7C2" wp14:editId="1239DB42">
                  <wp:extent cx="2147299" cy="2609215"/>
                  <wp:effectExtent l="0" t="0" r="5715"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842DC6">
              <w:rPr>
                <w:noProof/>
                <w:lang w:val="en-US"/>
              </w:rPr>
              <w:drawing>
                <wp:inline distT="0" distB="0" distL="0" distR="0" wp14:anchorId="6AB377CC" wp14:editId="618B3CEB">
                  <wp:extent cx="2044557" cy="2609215"/>
                  <wp:effectExtent l="0" t="0" r="13335" b="6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842DC6">
              <w:rPr>
                <w:noProof/>
                <w:lang w:val="en-US"/>
              </w:rPr>
              <w:drawing>
                <wp:inline distT="0" distB="0" distL="0" distR="0" wp14:anchorId="0957B873" wp14:editId="26128E90">
                  <wp:extent cx="2033905" cy="2609635"/>
                  <wp:effectExtent l="0" t="0" r="4445" b="6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1087" w:rsidRPr="00250625" w:rsidRDefault="00E865AC" w:rsidP="008A1087">
            <w:pPr>
              <w:spacing w:after="0"/>
              <w:jc w:val="both"/>
              <w:rPr>
                <w:rFonts w:ascii="Arial" w:hAnsi="Arial" w:cs="Arial"/>
                <w:b/>
                <w:bCs/>
                <w:color w:val="C45911" w:themeColor="accent2" w:themeShade="BF"/>
                <w:sz w:val="24"/>
                <w:szCs w:val="24"/>
                <w:u w:val="single"/>
              </w:rPr>
            </w:pPr>
            <w:r w:rsidRPr="00E865AC">
              <w:rPr>
                <w:rFonts w:ascii="Arial" w:hAnsi="Arial" w:cs="Arial"/>
                <w:noProof/>
                <w:sz w:val="6"/>
                <w:szCs w:val="6"/>
                <w:lang w:val="en-US"/>
              </w:rPr>
              <mc:AlternateContent>
                <mc:Choice Requires="wps">
                  <w:drawing>
                    <wp:anchor distT="45720" distB="45720" distL="114300" distR="114300" simplePos="0" relativeHeight="251662336" behindDoc="0" locked="0" layoutInCell="1" allowOverlap="1">
                      <wp:simplePos x="0" y="0"/>
                      <wp:positionH relativeFrom="column">
                        <wp:posOffset>4112260</wp:posOffset>
                      </wp:positionH>
                      <wp:positionV relativeFrom="paragraph">
                        <wp:posOffset>142875</wp:posOffset>
                      </wp:positionV>
                      <wp:extent cx="2260600" cy="2372360"/>
                      <wp:effectExtent l="0" t="0" r="2540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2372360"/>
                              </a:xfrm>
                              <a:prstGeom prst="rect">
                                <a:avLst/>
                              </a:prstGeom>
                              <a:solidFill>
                                <a:srgbClr val="FFFFFF"/>
                              </a:solidFill>
                              <a:ln w="9525">
                                <a:solidFill>
                                  <a:srgbClr val="000000"/>
                                </a:solidFill>
                                <a:miter lim="800000"/>
                                <a:headEnd/>
                                <a:tailEnd/>
                              </a:ln>
                            </wps:spPr>
                            <wps:txbx>
                              <w:txbxContent>
                                <w:p w:rsidR="008F7BA7" w:rsidRPr="00CD2F0E" w:rsidRDefault="008F7BA7" w:rsidP="00CD2F0E">
                                  <w:pPr>
                                    <w:spacing w:after="0" w:line="240" w:lineRule="auto"/>
                                    <w:jc w:val="both"/>
                                    <w:rPr>
                                      <w:noProof/>
                                      <w:sz w:val="20"/>
                                      <w:lang w:val="en-US"/>
                                    </w:rPr>
                                  </w:pPr>
                                  <w:r w:rsidRPr="00CD2F0E">
                                    <w:rPr>
                                      <w:noProof/>
                                      <w:sz w:val="20"/>
                                    </w:rPr>
                                    <w:t>Sedert 2010 het produsente 'n aptyt  vir die aanplant van sagte sitrus ontwikkel, met aanplantings wat drievoudig toegeneem het. Die meeste van hierdie</w:t>
                                  </w:r>
                                  <w:r w:rsidR="00CD2F0E">
                                    <w:rPr>
                                      <w:noProof/>
                                      <w:sz w:val="20"/>
                                    </w:rPr>
                                    <w:t xml:space="preserve"> aanplantings is van die later m</w:t>
                                  </w:r>
                                  <w:r w:rsidRPr="00CD2F0E">
                                    <w:rPr>
                                      <w:noProof/>
                                      <w:sz w:val="20"/>
                                    </w:rPr>
                                    <w:t>andarynvariëteite. Daar is ook 'n paar nuwe produsente in die kategorie wie se boomsensus nie ingesluit is nie, en dus kan die area waarskynlik selfs hoër wees. Teen 2014 het die groter aanplantings begin om uitvoervolumes te beïnvloed - met rekordvolumes wat in 2017 beleef is.</w:t>
                                  </w:r>
                                </w:p>
                                <w:p w:rsidR="0095425E" w:rsidRPr="0002327A" w:rsidRDefault="0095425E" w:rsidP="0002327A">
                                  <w:pPr>
                                    <w:spacing w:after="0"/>
                                    <w:rPr>
                                      <w:rFonts w:ascii="Arial" w:hAnsi="Arial" w:cs="Arial"/>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3.8pt;margin-top:11.25pt;width:178pt;height:186.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">
                      <v:textbox>
                        <w:txbxContent>
                          <w:p w:rsidR="008F7BA7" w:rsidRPr="00CD2F0E" w:rsidRDefault="008F7BA7" w:rsidP="00CD2F0E">
                            <w:pPr>
                              <w:spacing w:after="0" w:line="240" w:lineRule="auto"/>
                              <w:jc w:val="both"/>
                              <w:rPr>
                                <w:noProof/>
                                <w:sz w:val="20"/>
                                <w:lang w:val="en-US"/>
                              </w:rPr>
                            </w:pPr>
                            <w:r w:rsidRPr="00CD2F0E">
                              <w:rPr>
                                <w:noProof/>
                                <w:sz w:val="20"/>
                              </w:rPr>
                              <w:t>Sedert 2010 het produsente 'n aptyt  vir die aanplant van sagte sitrus ontwikkel, met aanplantings wat drievoudig toegeneem het. Die meeste van hierdie</w:t>
                            </w:r>
                            <w:r w:rsidR="00CD2F0E">
                              <w:rPr>
                                <w:noProof/>
                                <w:sz w:val="20"/>
                              </w:rPr>
                              <w:t xml:space="preserve"> aanplantings is van die later m</w:t>
                            </w:r>
                            <w:r w:rsidRPr="00CD2F0E">
                              <w:rPr>
                                <w:noProof/>
                                <w:sz w:val="20"/>
                              </w:rPr>
                              <w:t>andarynvariëteite. Daar is ook 'n paar nuwe produsente in die kategorie wie se boomsensus nie ingesluit is nie, en dus kan die area waarskynlik selfs hoër wees. Teen 2014 het die groter aanplantings begin om uitvoervolumes te beïnvloed - met rekordvolumes wat in 2017 beleef is.</w:t>
                            </w:r>
                          </w:p>
                          <w:p w:rsidR="0095425E" w:rsidRPr="0002327A" w:rsidRDefault="0095425E" w:rsidP="0002327A">
                            <w:pPr>
                              <w:spacing w:after="0"/>
                              <w:rPr>
                                <w:rFonts w:ascii="Arial" w:hAnsi="Arial" w:cs="Arial"/>
                                <w:sz w:val="21"/>
                                <w:szCs w:val="21"/>
                              </w:rPr>
                            </w:pPr>
                          </w:p>
                        </w:txbxContent>
                      </v:textbox>
                      <w10:wrap type="square"/>
                    </v:shape>
                  </w:pict>
                </mc:Fallback>
              </mc:AlternateContent>
            </w:r>
            <w:r w:rsidR="009A1402">
              <w:rPr>
                <w:rFonts w:ascii="Arial" w:hAnsi="Arial" w:cs="Arial"/>
                <w:b/>
                <w:bCs/>
                <w:color w:val="C45911" w:themeColor="accent2" w:themeShade="BF"/>
                <w:sz w:val="24"/>
                <w:szCs w:val="24"/>
                <w:u w:val="single"/>
              </w:rPr>
              <w:t>L</w:t>
            </w:r>
            <w:r w:rsidR="00311D1E">
              <w:rPr>
                <w:rFonts w:ascii="Arial" w:hAnsi="Arial" w:cs="Arial"/>
                <w:b/>
                <w:bCs/>
                <w:color w:val="C45911" w:themeColor="accent2" w:themeShade="BF"/>
                <w:sz w:val="24"/>
                <w:szCs w:val="24"/>
                <w:u w:val="single"/>
              </w:rPr>
              <w:t>ANGTERMYN VERANDERINGE</w:t>
            </w:r>
          </w:p>
          <w:p w:rsidR="0032083B" w:rsidRPr="0032083B" w:rsidRDefault="00150244" w:rsidP="00D42FAB">
            <w:pPr>
              <w:spacing w:after="0"/>
              <w:jc w:val="both"/>
              <w:rPr>
                <w:rFonts w:ascii="Arial" w:hAnsi="Arial" w:cs="Arial"/>
                <w:sz w:val="6"/>
                <w:szCs w:val="6"/>
                <w:lang w:val="en-US"/>
              </w:rPr>
            </w:pPr>
            <w:r>
              <w:rPr>
                <w:noProof/>
                <w:lang w:val="en-US"/>
              </w:rPr>
              <w:drawing>
                <wp:inline distT="0" distB="0" distL="0" distR="0" wp14:anchorId="0338A0A8" wp14:editId="22635FE6">
                  <wp:extent cx="1993186" cy="2321560"/>
                  <wp:effectExtent l="0" t="0" r="7620" b="25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val="en-US"/>
              </w:rPr>
              <w:drawing>
                <wp:inline distT="0" distB="0" distL="0" distR="0" wp14:anchorId="43FF8600" wp14:editId="430BFA38">
                  <wp:extent cx="1941195" cy="2321560"/>
                  <wp:effectExtent l="0" t="0" r="1905" b="25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2F0E" w:rsidRPr="00CD2F0E" w:rsidRDefault="00CD2F0E" w:rsidP="00CD2F0E">
            <w:pPr>
              <w:spacing w:after="0" w:line="240" w:lineRule="auto"/>
              <w:jc w:val="both"/>
              <w:rPr>
                <w:rFonts w:ascii="Arial" w:hAnsi="Arial" w:cs="Arial"/>
                <w:b/>
                <w:noProof/>
                <w:color w:val="C45911" w:themeColor="accent2" w:themeShade="BF"/>
                <w:sz w:val="24"/>
                <w:szCs w:val="24"/>
                <w:u w:val="single"/>
                <w:lang w:val="en-US"/>
              </w:rPr>
            </w:pPr>
            <w:r w:rsidRPr="00CD2F0E">
              <w:rPr>
                <w:rFonts w:ascii="Arial" w:hAnsi="Arial" w:cs="Arial"/>
                <w:b/>
                <w:noProof/>
                <w:color w:val="C45911" w:themeColor="accent2" w:themeShade="BF"/>
                <w:sz w:val="24"/>
                <w:szCs w:val="24"/>
                <w:u w:val="single"/>
              </w:rPr>
              <w:t>SAGTE SITRUS VERSKEPING 2017</w:t>
            </w:r>
          </w:p>
          <w:p w:rsidR="00CD2F0E" w:rsidRPr="00CD2F0E" w:rsidRDefault="00CD2F0E" w:rsidP="00CD2F0E">
            <w:pPr>
              <w:spacing w:after="0" w:line="240" w:lineRule="auto"/>
              <w:jc w:val="both"/>
              <w:rPr>
                <w:rFonts w:ascii="Arial" w:hAnsi="Arial" w:cs="Arial"/>
                <w:noProof/>
                <w:sz w:val="24"/>
                <w:szCs w:val="24"/>
              </w:rPr>
            </w:pPr>
            <w:r w:rsidRPr="00CD2F0E">
              <w:rPr>
                <w:rFonts w:ascii="Arial" w:hAnsi="Arial" w:cs="Arial"/>
                <w:noProof/>
                <w:sz w:val="24"/>
                <w:szCs w:val="24"/>
              </w:rPr>
              <w:t>Die VK bly die gewildste bestemming vir Suider-Afrika se sagte sitrus - met 4 miljoen kartonne in 2016 en 2017. Uitvoere na die res van die EU het ook staties op 3.2 miljoen kartonne gebly. Vier streke was by die 1 miljoen kartonmerk in 2016; Oos-Europa (oorwegend Rusland) het in 2017 tot 1,4 miljoen gegroei, Suidoos-Asië tot 1,3 miljoen en Noord-Amerika tot 1,2 miljoen. Midde-Ooste het op 1 miljoen vir die 2017 seisoen gebly.</w:t>
            </w:r>
          </w:p>
          <w:p w:rsidR="00E865AC" w:rsidRDefault="00E865AC" w:rsidP="00AA44C4">
            <w:pPr>
              <w:spacing w:after="0"/>
              <w:jc w:val="center"/>
              <w:rPr>
                <w:rFonts w:ascii="Arial" w:hAnsi="Arial" w:cs="Arial"/>
                <w:b/>
                <w:color w:val="FF0000"/>
                <w:sz w:val="18"/>
                <w:szCs w:val="18"/>
              </w:rPr>
            </w:pPr>
          </w:p>
          <w:p w:rsidR="00AA44C4" w:rsidRPr="00AA44C4" w:rsidRDefault="00CD2F0E" w:rsidP="00AA44C4">
            <w:pPr>
              <w:spacing w:after="0"/>
              <w:jc w:val="center"/>
              <w:rPr>
                <w:rFonts w:ascii="Arial" w:hAnsi="Arial" w:cs="Arial"/>
                <w:b/>
                <w:color w:val="FF0000"/>
                <w:sz w:val="18"/>
                <w:szCs w:val="18"/>
              </w:rPr>
            </w:pPr>
            <w:r w:rsidRPr="00FB26C8">
              <w:rPr>
                <w:rFonts w:ascii="Berlin Sans FB Demi" w:hAnsi="Berlin Sans FB Demi" w:cs="Arial"/>
                <w:color w:val="FF0000"/>
                <w:sz w:val="18"/>
              </w:rPr>
              <w:t>DIE CGA GROEP VAN MAATSKAPPYE (CRI, RIVER BIOSCIENCE, XSIT, CGA CULTIVAR COMPANY, CGA GROWER DEVELOPMENT COMPANY &amp; CITRUS ACADEMY) WORD DEUR SUIDER-AFRIKA SE SITRUSPRODUSENTE BEFONDS</w:t>
            </w:r>
          </w:p>
        </w:tc>
      </w:tr>
    </w:tbl>
    <w:p w:rsidR="00F553C7" w:rsidRPr="003363E1" w:rsidRDefault="00F553C7" w:rsidP="001C5927">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4.5pt;height:120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2E64"/>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84C"/>
    <w:rsid w:val="00055AC2"/>
    <w:rsid w:val="00055AD9"/>
    <w:rsid w:val="00060122"/>
    <w:rsid w:val="00061C0E"/>
    <w:rsid w:val="00064F3C"/>
    <w:rsid w:val="0006507E"/>
    <w:rsid w:val="00065BD7"/>
    <w:rsid w:val="00065D8C"/>
    <w:rsid w:val="0006671B"/>
    <w:rsid w:val="000703F0"/>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244"/>
    <w:rsid w:val="001550E1"/>
    <w:rsid w:val="00156F99"/>
    <w:rsid w:val="0015724E"/>
    <w:rsid w:val="00160F4C"/>
    <w:rsid w:val="0016126F"/>
    <w:rsid w:val="00162A6B"/>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1D1E"/>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3E07"/>
    <w:rsid w:val="003A47D6"/>
    <w:rsid w:val="003A4F71"/>
    <w:rsid w:val="003A58F2"/>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EB6"/>
    <w:rsid w:val="004210A1"/>
    <w:rsid w:val="004216CF"/>
    <w:rsid w:val="00422D42"/>
    <w:rsid w:val="00423390"/>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6D42"/>
    <w:rsid w:val="004912EB"/>
    <w:rsid w:val="004924C0"/>
    <w:rsid w:val="00493F7E"/>
    <w:rsid w:val="0049484D"/>
    <w:rsid w:val="004966D9"/>
    <w:rsid w:val="00497FB0"/>
    <w:rsid w:val="004A1D00"/>
    <w:rsid w:val="004A249C"/>
    <w:rsid w:val="004A6374"/>
    <w:rsid w:val="004A7885"/>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7676"/>
    <w:rsid w:val="005708C9"/>
    <w:rsid w:val="005710F5"/>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57B"/>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28B"/>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8770B"/>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8F7BA7"/>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2638"/>
    <w:rsid w:val="00922AFB"/>
    <w:rsid w:val="00922DC7"/>
    <w:rsid w:val="00923692"/>
    <w:rsid w:val="00923D73"/>
    <w:rsid w:val="00927400"/>
    <w:rsid w:val="0093149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7DD2"/>
    <w:rsid w:val="0097070B"/>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D05AA"/>
    <w:rsid w:val="009D0AEC"/>
    <w:rsid w:val="009D1746"/>
    <w:rsid w:val="009D2807"/>
    <w:rsid w:val="009D37D0"/>
    <w:rsid w:val="009D3B47"/>
    <w:rsid w:val="009D5423"/>
    <w:rsid w:val="009D6610"/>
    <w:rsid w:val="009D7302"/>
    <w:rsid w:val="009D7F54"/>
    <w:rsid w:val="009E0491"/>
    <w:rsid w:val="009E104C"/>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807E0"/>
    <w:rsid w:val="00A80A11"/>
    <w:rsid w:val="00A810E2"/>
    <w:rsid w:val="00A851D6"/>
    <w:rsid w:val="00A86FD3"/>
    <w:rsid w:val="00A90EFF"/>
    <w:rsid w:val="00A91F61"/>
    <w:rsid w:val="00A92740"/>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12CB"/>
    <w:rsid w:val="00B337C9"/>
    <w:rsid w:val="00B34867"/>
    <w:rsid w:val="00B3583A"/>
    <w:rsid w:val="00B372C8"/>
    <w:rsid w:val="00B376A7"/>
    <w:rsid w:val="00B40D74"/>
    <w:rsid w:val="00B40F79"/>
    <w:rsid w:val="00B426EE"/>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34D"/>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F80"/>
    <w:rsid w:val="00C32435"/>
    <w:rsid w:val="00C33118"/>
    <w:rsid w:val="00C341B8"/>
    <w:rsid w:val="00C342C5"/>
    <w:rsid w:val="00C34877"/>
    <w:rsid w:val="00C36713"/>
    <w:rsid w:val="00C3744E"/>
    <w:rsid w:val="00C375EC"/>
    <w:rsid w:val="00C37617"/>
    <w:rsid w:val="00C404B1"/>
    <w:rsid w:val="00C40625"/>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15D5"/>
    <w:rsid w:val="00CC1A4A"/>
    <w:rsid w:val="00CC1B24"/>
    <w:rsid w:val="00CC3928"/>
    <w:rsid w:val="00CC3B1D"/>
    <w:rsid w:val="00CC5A99"/>
    <w:rsid w:val="00CC6CD7"/>
    <w:rsid w:val="00CC7694"/>
    <w:rsid w:val="00CD0A2F"/>
    <w:rsid w:val="00CD0CFF"/>
    <w:rsid w:val="00CD287D"/>
    <w:rsid w:val="00CD2F0E"/>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0DA"/>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717D"/>
    <w:rsid w:val="00E80953"/>
    <w:rsid w:val="00E8177F"/>
    <w:rsid w:val="00E8306E"/>
    <w:rsid w:val="00E83960"/>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1060"/>
    <w:rsid w:val="00EC12B2"/>
    <w:rsid w:val="00EC12D1"/>
    <w:rsid w:val="00EC244E"/>
    <w:rsid w:val="00EC5A51"/>
    <w:rsid w:val="00EC64D7"/>
    <w:rsid w:val="00ED4605"/>
    <w:rsid w:val="00ED5254"/>
    <w:rsid w:val="00ED5F84"/>
    <w:rsid w:val="00ED6629"/>
    <w:rsid w:val="00ED7447"/>
    <w:rsid w:val="00EE1E28"/>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02C8"/>
    <w:rsid w:val="00F91674"/>
    <w:rsid w:val="00F954D0"/>
    <w:rsid w:val="00FA0203"/>
    <w:rsid w:val="00FA0498"/>
    <w:rsid w:val="00FA0950"/>
    <w:rsid w:val="00FA0C19"/>
    <w:rsid w:val="00FA1756"/>
    <w:rsid w:val="00FA1A7D"/>
    <w:rsid w:val="00FA1C7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D011C"/>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4649632">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0272303">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2596756">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7\Information\1_2017%20Stats%20Book_Print%20Draft%20v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7\Information\1_2017%20Stats%20Book_Print%20Draft%20v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7\Information\1_2017%20Stats%20Book_Print%20Draft%20v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7\Information\1_2017%20Stats%20Book_Print%20Draft%20v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7\Information\1_2017%20Stats%20Book_Print%20Draft%20v2.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Plaaslike Mark</a:t>
            </a:r>
            <a:r>
              <a:rPr lang="en-US" baseline="0"/>
              <a:t>pryse</a:t>
            </a:r>
            <a:r>
              <a:rPr lang="en-US"/>
              <a:t> (R/Ton)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p24doap!$I$29</c:f>
              <c:strCache>
                <c:ptCount val="1"/>
                <c:pt idx="0">
                  <c:v>Local Market</c:v>
                </c:pt>
              </c:strCache>
            </c:strRef>
          </c:tx>
          <c:spPr>
            <a:ln w="28575" cap="rnd">
              <a:solidFill>
                <a:schemeClr val="accent1"/>
              </a:solidFill>
              <a:round/>
            </a:ln>
            <a:effectLst/>
          </c:spPr>
          <c:marker>
            <c:symbol val="none"/>
          </c:marker>
          <c:cat>
            <c:numRef>
              <c:f>p24doap!$H$30:$H$39</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p24doap!$I$30:$I$39</c:f>
              <c:numCache>
                <c:formatCode>#,##0</c:formatCode>
                <c:ptCount val="10"/>
                <c:pt idx="0">
                  <c:v>2542.8864393160179</c:v>
                </c:pt>
                <c:pt idx="1">
                  <c:v>3038.3952609702937</c:v>
                </c:pt>
                <c:pt idx="2">
                  <c:v>3042.2803120083577</c:v>
                </c:pt>
                <c:pt idx="3">
                  <c:v>3804.9861008812818</c:v>
                </c:pt>
                <c:pt idx="4">
                  <c:v>4091.1414188408753</c:v>
                </c:pt>
                <c:pt idx="5">
                  <c:v>3759.887868442298</c:v>
                </c:pt>
                <c:pt idx="6">
                  <c:v>5159.2784414230482</c:v>
                </c:pt>
                <c:pt idx="7">
                  <c:v>5441.5433642428561</c:v>
                </c:pt>
                <c:pt idx="8">
                  <c:v>5606.3278893947618</c:v>
                </c:pt>
                <c:pt idx="9">
                  <c:v>6785.2875078358657</c:v>
                </c:pt>
              </c:numCache>
            </c:numRef>
          </c:val>
          <c:smooth val="0"/>
          <c:extLst xmlns:c16r2="http://schemas.microsoft.com/office/drawing/2015/06/chart">
            <c:ext xmlns:c16="http://schemas.microsoft.com/office/drawing/2014/chart" uri="{C3380CC4-5D6E-409C-BE32-E72D297353CC}">
              <c16:uniqueId val="{00000000-8067-4195-B090-3563CA4110B8}"/>
            </c:ext>
          </c:extLst>
        </c:ser>
        <c:dLbls>
          <c:showLegendKey val="0"/>
          <c:showVal val="0"/>
          <c:showCatName val="0"/>
          <c:showSerName val="0"/>
          <c:showPercent val="0"/>
          <c:showBubbleSize val="0"/>
        </c:dLbls>
        <c:smooth val="0"/>
        <c:axId val="445513056"/>
        <c:axId val="445513840"/>
      </c:lineChart>
      <c:catAx>
        <c:axId val="445513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513840"/>
        <c:crosses val="autoZero"/>
        <c:auto val="1"/>
        <c:lblAlgn val="ctr"/>
        <c:lblOffset val="100"/>
        <c:noMultiLvlLbl val="0"/>
      </c:catAx>
      <c:valAx>
        <c:axId val="445513840"/>
        <c:scaling>
          <c:orientation val="minMax"/>
          <c:max val="7000"/>
          <c:min val="2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513056"/>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Uitvoer Pryse (R/Ton)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p24doap!$L$29</c:f>
              <c:strCache>
                <c:ptCount val="1"/>
                <c:pt idx="0">
                  <c:v>Exports</c:v>
                </c:pt>
              </c:strCache>
            </c:strRef>
          </c:tx>
          <c:spPr>
            <a:ln w="28575" cap="rnd">
              <a:solidFill>
                <a:schemeClr val="accent1"/>
              </a:solidFill>
              <a:round/>
            </a:ln>
            <a:effectLst/>
          </c:spPr>
          <c:marker>
            <c:symbol val="none"/>
          </c:marker>
          <c:cat>
            <c:numRef>
              <c:f>p24doap!$K$30:$K$39</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p24doap!$L$30:$L$39</c:f>
              <c:numCache>
                <c:formatCode>#,##0</c:formatCode>
                <c:ptCount val="10"/>
                <c:pt idx="0">
                  <c:v>3758</c:v>
                </c:pt>
                <c:pt idx="1">
                  <c:v>4965</c:v>
                </c:pt>
                <c:pt idx="2">
                  <c:v>4635</c:v>
                </c:pt>
                <c:pt idx="3">
                  <c:v>5618</c:v>
                </c:pt>
                <c:pt idx="4">
                  <c:v>6717.7683835719972</c:v>
                </c:pt>
                <c:pt idx="5">
                  <c:v>7369.4749076894086</c:v>
                </c:pt>
                <c:pt idx="6">
                  <c:v>8906.7783175784716</c:v>
                </c:pt>
                <c:pt idx="7">
                  <c:v>10002.527410005488</c:v>
                </c:pt>
                <c:pt idx="8">
                  <c:v>11391.795029399607</c:v>
                </c:pt>
                <c:pt idx="9">
                  <c:v>14242</c:v>
                </c:pt>
              </c:numCache>
            </c:numRef>
          </c:val>
          <c:smooth val="0"/>
          <c:extLst xmlns:c16r2="http://schemas.microsoft.com/office/drawing/2015/06/chart">
            <c:ext xmlns:c16="http://schemas.microsoft.com/office/drawing/2014/chart" uri="{C3380CC4-5D6E-409C-BE32-E72D297353CC}">
              <c16:uniqueId val="{00000000-ABCD-47DF-9808-A40AC55762D8}"/>
            </c:ext>
          </c:extLst>
        </c:ser>
        <c:dLbls>
          <c:showLegendKey val="0"/>
          <c:showVal val="0"/>
          <c:showCatName val="0"/>
          <c:showSerName val="0"/>
          <c:showPercent val="0"/>
          <c:showBubbleSize val="0"/>
        </c:dLbls>
        <c:smooth val="0"/>
        <c:axId val="445514232"/>
        <c:axId val="445936504"/>
      </c:lineChart>
      <c:catAx>
        <c:axId val="445514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936504"/>
        <c:crosses val="autoZero"/>
        <c:auto val="1"/>
        <c:lblAlgn val="ctr"/>
        <c:lblOffset val="100"/>
        <c:noMultiLvlLbl val="0"/>
      </c:catAx>
      <c:valAx>
        <c:axId val="445936504"/>
        <c:scaling>
          <c:orientation val="minMax"/>
          <c:min val="3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514232"/>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Prosessering Pryse (R/Ton)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p24doap!$O$29</c:f>
              <c:strCache>
                <c:ptCount val="1"/>
                <c:pt idx="0">
                  <c:v>Processed</c:v>
                </c:pt>
              </c:strCache>
            </c:strRef>
          </c:tx>
          <c:spPr>
            <a:ln w="28575" cap="rnd">
              <a:solidFill>
                <a:schemeClr val="accent1"/>
              </a:solidFill>
              <a:round/>
            </a:ln>
            <a:effectLst/>
          </c:spPr>
          <c:marker>
            <c:symbol val="none"/>
          </c:marker>
          <c:cat>
            <c:numRef>
              <c:f>p24doap!$N$30:$N$39</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p24doap!$O$30:$O$39</c:f>
              <c:numCache>
                <c:formatCode>#,##0</c:formatCode>
                <c:ptCount val="10"/>
                <c:pt idx="0">
                  <c:v>214</c:v>
                </c:pt>
                <c:pt idx="1">
                  <c:v>367</c:v>
                </c:pt>
                <c:pt idx="2">
                  <c:v>275</c:v>
                </c:pt>
                <c:pt idx="3">
                  <c:v>214</c:v>
                </c:pt>
                <c:pt idx="4">
                  <c:v>314.97031390521778</c:v>
                </c:pt>
                <c:pt idx="5">
                  <c:v>418.83501670987755</c:v>
                </c:pt>
                <c:pt idx="6">
                  <c:v>333.51350442676232</c:v>
                </c:pt>
                <c:pt idx="7">
                  <c:v>465.01871997099084</c:v>
                </c:pt>
                <c:pt idx="8">
                  <c:v>391.34136967155837</c:v>
                </c:pt>
                <c:pt idx="9">
                  <c:v>532.12450975615695</c:v>
                </c:pt>
              </c:numCache>
            </c:numRef>
          </c:val>
          <c:smooth val="0"/>
          <c:extLst xmlns:c16r2="http://schemas.microsoft.com/office/drawing/2015/06/chart">
            <c:ext xmlns:c16="http://schemas.microsoft.com/office/drawing/2014/chart" uri="{C3380CC4-5D6E-409C-BE32-E72D297353CC}">
              <c16:uniqueId val="{00000000-6D40-4A66-BBB9-A8F25E734E8B}"/>
            </c:ext>
          </c:extLst>
        </c:ser>
        <c:dLbls>
          <c:showLegendKey val="0"/>
          <c:showVal val="0"/>
          <c:showCatName val="0"/>
          <c:showSerName val="0"/>
          <c:showPercent val="0"/>
          <c:showBubbleSize val="0"/>
        </c:dLbls>
        <c:smooth val="0"/>
        <c:axId val="445936896"/>
        <c:axId val="445937288"/>
      </c:lineChart>
      <c:catAx>
        <c:axId val="445936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937288"/>
        <c:crosses val="autoZero"/>
        <c:auto val="1"/>
        <c:lblAlgn val="ctr"/>
        <c:lblOffset val="100"/>
        <c:noMultiLvlLbl val="0"/>
      </c:catAx>
      <c:valAx>
        <c:axId val="445937288"/>
        <c:scaling>
          <c:orientation val="minMax"/>
          <c:min val="2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936896"/>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Sagte Sitrus Uitvoervolumes (Ton)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P22DAFF!$K$16</c:f>
              <c:strCache>
                <c:ptCount val="1"/>
                <c:pt idx="0">
                  <c:v>Exports</c:v>
                </c:pt>
              </c:strCache>
            </c:strRef>
          </c:tx>
          <c:spPr>
            <a:ln w="28575" cap="rnd">
              <a:solidFill>
                <a:schemeClr val="accent1"/>
              </a:solidFill>
              <a:round/>
            </a:ln>
            <a:effectLst/>
          </c:spPr>
          <c:marker>
            <c:symbol val="none"/>
          </c:marker>
          <c:cat>
            <c:numRef>
              <c:f>P22DAFF!$J$17:$J$27</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P22DAFF!$K$17:$K$27</c:f>
              <c:numCache>
                <c:formatCode>#,##0</c:formatCode>
                <c:ptCount val="11"/>
                <c:pt idx="0">
                  <c:v>101437.95385000015</c:v>
                </c:pt>
                <c:pt idx="1">
                  <c:v>110139.37465000001</c:v>
                </c:pt>
                <c:pt idx="2">
                  <c:v>101726.18826000004</c:v>
                </c:pt>
                <c:pt idx="3">
                  <c:v>113033.93750000012</c:v>
                </c:pt>
                <c:pt idx="4">
                  <c:v>103617.82905000003</c:v>
                </c:pt>
                <c:pt idx="5" formatCode="_ * #\ ##0_ ;_ * \-#\ ##0_ ;_ * &quot;-&quot;??_ ;_ @_ ">
                  <c:v>110939.19199499999</c:v>
                </c:pt>
                <c:pt idx="6" formatCode="_ * #\ ##0_ ;_ * \-#\ ##0_ ;_ * &quot;-&quot;??_ ;_ @_ ">
                  <c:v>121444</c:v>
                </c:pt>
                <c:pt idx="7" formatCode="_ * #\ ##0_ ;_ * \-#\ ##0_ ;_ * &quot;-&quot;??_ ;_ @_ ">
                  <c:v>149398</c:v>
                </c:pt>
                <c:pt idx="8" formatCode="_ * #\ ##0_ ;_ * \-#\ ##0_ ;_ * &quot;-&quot;??_ ;_ @_ ">
                  <c:v>150002</c:v>
                </c:pt>
                <c:pt idx="9" formatCode="_ * #\ ##0_ ;_ * \-#\ ##0_ ;_ * &quot;-&quot;??_ ;_ @_ ">
                  <c:v>182834.0361</c:v>
                </c:pt>
                <c:pt idx="10" formatCode="General">
                  <c:v>201000</c:v>
                </c:pt>
              </c:numCache>
            </c:numRef>
          </c:val>
          <c:smooth val="0"/>
          <c:extLst xmlns:c16r2="http://schemas.microsoft.com/office/drawing/2015/06/chart">
            <c:ext xmlns:c16="http://schemas.microsoft.com/office/drawing/2014/chart" uri="{C3380CC4-5D6E-409C-BE32-E72D297353CC}">
              <c16:uniqueId val="{00000000-0CF6-4A30-9F06-521E73FA6129}"/>
            </c:ext>
          </c:extLst>
        </c:ser>
        <c:dLbls>
          <c:showLegendKey val="0"/>
          <c:showVal val="0"/>
          <c:showCatName val="0"/>
          <c:showSerName val="0"/>
          <c:showPercent val="0"/>
          <c:showBubbleSize val="0"/>
        </c:dLbls>
        <c:smooth val="0"/>
        <c:axId val="445937680"/>
        <c:axId val="445938072"/>
      </c:lineChart>
      <c:catAx>
        <c:axId val="445937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938072"/>
        <c:crosses val="autoZero"/>
        <c:auto val="1"/>
        <c:lblAlgn val="ctr"/>
        <c:lblOffset val="100"/>
        <c:noMultiLvlLbl val="0"/>
      </c:catAx>
      <c:valAx>
        <c:axId val="445938072"/>
        <c:scaling>
          <c:orientation val="minMax"/>
          <c:max val="210000"/>
          <c:min val="1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937680"/>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Hektare Sagte Sitrus  in Suider-Afrika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P22DAFF!$C$36</c:f>
              <c:strCache>
                <c:ptCount val="1"/>
                <c:pt idx="0">
                  <c:v>Ha</c:v>
                </c:pt>
              </c:strCache>
            </c:strRef>
          </c:tx>
          <c:spPr>
            <a:ln w="28575" cap="rnd">
              <a:solidFill>
                <a:schemeClr val="accent1"/>
              </a:solidFill>
              <a:round/>
            </a:ln>
            <a:effectLst/>
          </c:spPr>
          <c:marker>
            <c:symbol val="none"/>
          </c:marker>
          <c:cat>
            <c:numRef>
              <c:f>P22DAFF!$B$37:$B$41</c:f>
              <c:numCache>
                <c:formatCode>General</c:formatCode>
                <c:ptCount val="5"/>
                <c:pt idx="0">
                  <c:v>2000</c:v>
                </c:pt>
                <c:pt idx="1">
                  <c:v>2005</c:v>
                </c:pt>
                <c:pt idx="2">
                  <c:v>2010</c:v>
                </c:pt>
                <c:pt idx="3">
                  <c:v>2015</c:v>
                </c:pt>
                <c:pt idx="4">
                  <c:v>2017</c:v>
                </c:pt>
              </c:numCache>
            </c:numRef>
          </c:cat>
          <c:val>
            <c:numRef>
              <c:f>P22DAFF!$C$37:$C$41</c:f>
              <c:numCache>
                <c:formatCode>#,##0</c:formatCode>
                <c:ptCount val="5"/>
                <c:pt idx="0" formatCode="General">
                  <c:v>4123</c:v>
                </c:pt>
                <c:pt idx="1">
                  <c:v>5456</c:v>
                </c:pt>
                <c:pt idx="2" formatCode="General">
                  <c:v>4960</c:v>
                </c:pt>
                <c:pt idx="3" formatCode="General">
                  <c:v>9335</c:v>
                </c:pt>
                <c:pt idx="4" formatCode="General">
                  <c:v>14937</c:v>
                </c:pt>
              </c:numCache>
            </c:numRef>
          </c:val>
          <c:smooth val="0"/>
          <c:extLst xmlns:c16r2="http://schemas.microsoft.com/office/drawing/2015/06/chart">
            <c:ext xmlns:c16="http://schemas.microsoft.com/office/drawing/2014/chart" uri="{C3380CC4-5D6E-409C-BE32-E72D297353CC}">
              <c16:uniqueId val="{00000000-3BAC-4043-A34C-7D1FCAD11D52}"/>
            </c:ext>
          </c:extLst>
        </c:ser>
        <c:dLbls>
          <c:showLegendKey val="0"/>
          <c:showVal val="0"/>
          <c:showCatName val="0"/>
          <c:showSerName val="0"/>
          <c:showPercent val="0"/>
          <c:showBubbleSize val="0"/>
        </c:dLbls>
        <c:smooth val="0"/>
        <c:axId val="445934936"/>
        <c:axId val="445935328"/>
      </c:lineChart>
      <c:catAx>
        <c:axId val="445934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935328"/>
        <c:crosses val="autoZero"/>
        <c:auto val="1"/>
        <c:lblAlgn val="ctr"/>
        <c:lblOffset val="100"/>
        <c:noMultiLvlLbl val="0"/>
      </c:catAx>
      <c:valAx>
        <c:axId val="445935328"/>
        <c:scaling>
          <c:orientation val="minMax"/>
          <c:max val="15000"/>
          <c:min val="3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934936"/>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F88D5-96A4-477F-9FD4-24B8E02B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2017-09-15T08:19:00Z</cp:lastPrinted>
  <dcterms:created xsi:type="dcterms:W3CDTF">2017-12-15T07:52:00Z</dcterms:created>
  <dcterms:modified xsi:type="dcterms:W3CDTF">2017-12-15T07:52:00Z</dcterms:modified>
</cp:coreProperties>
</file>