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FF1311">
        <w:rPr>
          <w:rFonts w:asciiTheme="minorHAnsi" w:hAnsiTheme="minorHAnsi" w:cstheme="minorHAnsi"/>
          <w:b/>
          <w:i/>
          <w:sz w:val="24"/>
          <w:szCs w:val="24"/>
        </w:rPr>
        <w:t>17</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FF1311" w:rsidP="00A751D8">
      <w:pPr>
        <w:rPr>
          <w:rFonts w:asciiTheme="minorHAnsi" w:hAnsiTheme="minorHAnsi" w:cstheme="minorHAnsi"/>
          <w:i/>
          <w:sz w:val="24"/>
          <w:szCs w:val="24"/>
        </w:rPr>
      </w:pPr>
      <w:r>
        <w:rPr>
          <w:rFonts w:asciiTheme="minorHAnsi" w:hAnsiTheme="minorHAnsi" w:cstheme="minorHAnsi"/>
          <w:i/>
          <w:sz w:val="24"/>
          <w:szCs w:val="24"/>
        </w:rPr>
        <w:t>Justin Chadwick 7 May</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rsidTr="00ED209B">
        <w:trPr>
          <w:trHeight w:val="555"/>
          <w:tblCellSpacing w:w="0" w:type="dxa"/>
        </w:trPr>
        <w:tc>
          <w:tcPr>
            <w:tcW w:w="10824" w:type="dxa"/>
            <w:vAlign w:val="center"/>
          </w:tcPr>
          <w:p w:rsidR="00836320" w:rsidRPr="00CE0436" w:rsidRDefault="00CE0436" w:rsidP="00E62F08">
            <w:pPr>
              <w:spacing w:after="0"/>
              <w:ind w:right="-329"/>
              <w:rPr>
                <w:rFonts w:asciiTheme="minorHAnsi" w:hAnsiTheme="minorHAnsi" w:cstheme="minorHAnsi"/>
                <w:b/>
                <w:i/>
                <w:sz w:val="28"/>
                <w:szCs w:val="28"/>
                <w:lang w:val="en-US"/>
              </w:rPr>
            </w:pPr>
            <w:r w:rsidRPr="00CE0436">
              <w:rPr>
                <w:rFonts w:ascii="Arial" w:hAnsi="Arial" w:cs="Arial"/>
                <w:b/>
                <w:i/>
                <w:color w:val="2D2D2D"/>
                <w:shd w:val="clear" w:color="auto" w:fill="FFFFFF"/>
              </w:rPr>
              <w:t>“</w:t>
            </w:r>
            <w:r w:rsidR="00FF1311" w:rsidRPr="00FF1311">
              <w:rPr>
                <w:rStyle w:val="Emphasis"/>
                <w:rFonts w:ascii="Arial" w:hAnsi="Arial" w:cs="Arial"/>
                <w:b/>
                <w:color w:val="222222"/>
                <w:sz w:val="23"/>
                <w:szCs w:val="23"/>
                <w:bdr w:val="none" w:sz="0" w:space="0" w:color="auto" w:frame="1"/>
                <w:shd w:val="clear" w:color="auto" w:fill="FFFFFF"/>
              </w:rPr>
              <w:t>A man who wants to lead the orchestra must turn his back on the crowd”</w:t>
            </w:r>
            <w:r w:rsidR="00FF1311" w:rsidRPr="00FF1311">
              <w:rPr>
                <w:rFonts w:ascii="Arial" w:hAnsi="Arial" w:cs="Arial"/>
                <w:b/>
                <w:color w:val="222222"/>
                <w:sz w:val="23"/>
                <w:szCs w:val="23"/>
                <w:shd w:val="clear" w:color="auto" w:fill="FFFFFF"/>
              </w:rPr>
              <w:t> </w:t>
            </w:r>
            <w:r w:rsidR="00FF1311" w:rsidRPr="00FF1311">
              <w:rPr>
                <w:rStyle w:val="Strong"/>
                <w:rFonts w:ascii="Arial" w:hAnsi="Arial" w:cs="Arial"/>
                <w:i/>
                <w:color w:val="222222"/>
                <w:sz w:val="23"/>
                <w:szCs w:val="23"/>
                <w:bdr w:val="none" w:sz="0" w:space="0" w:color="auto" w:frame="1"/>
                <w:shd w:val="clear" w:color="auto" w:fill="FFFFFF"/>
              </w:rPr>
              <w:t>James Crook</w:t>
            </w:r>
          </w:p>
        </w:tc>
      </w:tr>
    </w:tbl>
    <w:p w:rsidR="00DD3A75" w:rsidRPr="002F2B2B" w:rsidRDefault="00FA3D2B" w:rsidP="00DD3A75">
      <w:pPr>
        <w:spacing w:after="0"/>
        <w:rPr>
          <w:rFonts w:eastAsiaTheme="minorHAnsi"/>
          <w:sz w:val="24"/>
          <w:szCs w:val="24"/>
        </w:rPr>
      </w:pPr>
      <w:r>
        <w:rPr>
          <w:rFonts w:asciiTheme="minorHAnsi" w:eastAsia="Times New Roman" w:hAnsiTheme="minorHAnsi" w:cstheme="minorHAnsi"/>
          <w:b/>
          <w:color w:val="7030A0"/>
          <w:sz w:val="24"/>
          <w:szCs w:val="24"/>
          <w:u w:val="single"/>
          <w:lang w:val="en-US"/>
        </w:rPr>
        <w:t>MARKET ACCESS: INDONESIA</w:t>
      </w:r>
    </w:p>
    <w:p w:rsidR="002F2B2B" w:rsidRPr="00361029" w:rsidRDefault="00FA3D2B" w:rsidP="00055F10">
      <w:pPr>
        <w:spacing w:after="0"/>
        <w:jc w:val="both"/>
        <w:rPr>
          <w:sz w:val="23"/>
          <w:szCs w:val="23"/>
          <w:lang w:val="en-US"/>
        </w:rPr>
      </w:pPr>
      <w:r w:rsidRPr="00361029">
        <w:rPr>
          <w:sz w:val="23"/>
          <w:szCs w:val="23"/>
          <w:lang w:val="en-US"/>
        </w:rPr>
        <w:t>Countries that trade with Indonesia have a big advantage should they conclude a Mutual Country Agreement (MCA). Amongst other advantages the MCA allows exporters to discharge in the port at Jakarta, and also recognizes food safety certification from the country of origi</w:t>
      </w:r>
      <w:r w:rsidR="006921BA">
        <w:rPr>
          <w:sz w:val="23"/>
          <w:szCs w:val="23"/>
          <w:lang w:val="en-US"/>
        </w:rPr>
        <w:t>n. The MCA is valid for a three-</w:t>
      </w:r>
      <w:r w:rsidRPr="00361029">
        <w:rPr>
          <w:sz w:val="23"/>
          <w:szCs w:val="23"/>
          <w:lang w:val="en-US"/>
        </w:rPr>
        <w:t>year period. South Africa had a MCA from 2018 which expired in April 2021. Despite a timeous application for renewal, and lodging of all the documents the MCA lapsed without a renewal being granted. This was of great concern to those wanting to export to Indonesia.</w:t>
      </w:r>
    </w:p>
    <w:p w:rsidR="00FA3D2B" w:rsidRPr="00361029" w:rsidRDefault="00FA3D2B" w:rsidP="00055F10">
      <w:pPr>
        <w:spacing w:after="0"/>
        <w:jc w:val="both"/>
        <w:rPr>
          <w:sz w:val="23"/>
          <w:szCs w:val="23"/>
          <w:lang w:val="en-US"/>
        </w:rPr>
      </w:pPr>
      <w:r w:rsidRPr="00361029">
        <w:rPr>
          <w:sz w:val="23"/>
          <w:szCs w:val="23"/>
          <w:lang w:val="en-US"/>
        </w:rPr>
        <w:t>The good news is that South Africa has concluded the MCA with Indonesia</w:t>
      </w:r>
      <w:r w:rsidR="00BD7B98">
        <w:rPr>
          <w:sz w:val="23"/>
          <w:szCs w:val="23"/>
          <w:lang w:val="en-US"/>
        </w:rPr>
        <w:t xml:space="preserve"> for a further three</w:t>
      </w:r>
      <w:r w:rsidR="006921BA">
        <w:rPr>
          <w:sz w:val="23"/>
          <w:szCs w:val="23"/>
          <w:lang w:val="en-US"/>
        </w:rPr>
        <w:t xml:space="preserve"> years</w:t>
      </w:r>
      <w:r w:rsidRPr="00361029">
        <w:rPr>
          <w:sz w:val="23"/>
          <w:szCs w:val="23"/>
          <w:lang w:val="en-US"/>
        </w:rPr>
        <w:t>. Thanks to Department Agriculture, Land Reform and Rural Development (DALRRD), the Fresh Produce Exporters Forum and Ambassador Fisher at the Embassy in Jakarta for getting this concluded.</w:t>
      </w:r>
    </w:p>
    <w:p w:rsidR="00FA3D2B" w:rsidRPr="002F2B2B" w:rsidRDefault="00FA3D2B" w:rsidP="00FA3D2B">
      <w:pPr>
        <w:spacing w:after="0"/>
        <w:rPr>
          <w:rFonts w:eastAsiaTheme="minorHAnsi"/>
          <w:sz w:val="24"/>
          <w:szCs w:val="24"/>
        </w:rPr>
      </w:pPr>
      <w:r>
        <w:rPr>
          <w:rFonts w:asciiTheme="minorHAnsi" w:eastAsia="Times New Roman" w:hAnsiTheme="minorHAnsi" w:cstheme="minorHAnsi"/>
          <w:b/>
          <w:color w:val="7030A0"/>
          <w:sz w:val="24"/>
          <w:szCs w:val="24"/>
          <w:u w:val="single"/>
          <w:lang w:val="en-US"/>
        </w:rPr>
        <w:t>MARKET ACCESS: PHILIPPINES</w:t>
      </w:r>
    </w:p>
    <w:p w:rsidR="00FA3D2B" w:rsidRPr="00361029" w:rsidRDefault="00FA3D2B" w:rsidP="00055F10">
      <w:pPr>
        <w:spacing w:after="0"/>
        <w:jc w:val="both"/>
        <w:rPr>
          <w:rFonts w:asciiTheme="minorHAnsi" w:eastAsia="Times New Roman" w:hAnsiTheme="minorHAnsi" w:cstheme="minorHAnsi"/>
          <w:sz w:val="23"/>
          <w:szCs w:val="23"/>
          <w:lang w:val="en-US"/>
        </w:rPr>
      </w:pPr>
      <w:r w:rsidRPr="00361029">
        <w:rPr>
          <w:rFonts w:asciiTheme="minorHAnsi" w:eastAsia="Times New Roman" w:hAnsiTheme="minorHAnsi" w:cstheme="minorHAnsi"/>
          <w:sz w:val="23"/>
          <w:szCs w:val="23"/>
          <w:lang w:val="en-US"/>
        </w:rPr>
        <w:t xml:space="preserve">Exporters from South Africa and importers in the Philippines are looking forward to the first shipments of South African citrus in 2021 after the conclusion of a protocol in 2020. However, importers have been finding it impossible to get import permits. </w:t>
      </w:r>
      <w:r w:rsidR="00BD7B98">
        <w:rPr>
          <w:rFonts w:asciiTheme="minorHAnsi" w:eastAsia="Times New Roman" w:hAnsiTheme="minorHAnsi" w:cstheme="minorHAnsi"/>
          <w:sz w:val="23"/>
          <w:szCs w:val="23"/>
          <w:lang w:val="en-US"/>
        </w:rPr>
        <w:t>As with any new market, there are</w:t>
      </w:r>
      <w:bookmarkStart w:id="0" w:name="_GoBack"/>
      <w:bookmarkEnd w:id="0"/>
      <w:r w:rsidRPr="00361029">
        <w:rPr>
          <w:rFonts w:asciiTheme="minorHAnsi" w:eastAsia="Times New Roman" w:hAnsiTheme="minorHAnsi" w:cstheme="minorHAnsi"/>
          <w:sz w:val="23"/>
          <w:szCs w:val="23"/>
          <w:lang w:val="en-US"/>
        </w:rPr>
        <w:t xml:space="preserve"> always some </w:t>
      </w:r>
      <w:r w:rsidR="003170A8" w:rsidRPr="00361029">
        <w:rPr>
          <w:rFonts w:asciiTheme="minorHAnsi" w:eastAsia="Times New Roman" w:hAnsiTheme="minorHAnsi" w:cstheme="minorHAnsi"/>
          <w:sz w:val="23"/>
          <w:szCs w:val="23"/>
          <w:lang w:val="en-US"/>
        </w:rPr>
        <w:t>initiating issues – and in the case of Philippines it has been in getting the lists of production units and exporters accepted by the Bureau for Plant and Industry (BPI) in Manila. DALRRD report that all the lists have now been lodged. Please let me know (</w:t>
      </w:r>
      <w:r w:rsidR="006921BA">
        <w:rPr>
          <w:rFonts w:asciiTheme="minorHAnsi" w:eastAsia="Times New Roman" w:hAnsiTheme="minorHAnsi" w:cstheme="minorHAnsi"/>
          <w:sz w:val="23"/>
          <w:szCs w:val="23"/>
          <w:lang w:val="en-US"/>
        </w:rPr>
        <w:t>justchad@iafrica.com</w:t>
      </w:r>
      <w:r w:rsidR="003170A8" w:rsidRPr="00361029">
        <w:rPr>
          <w:rFonts w:asciiTheme="minorHAnsi" w:eastAsia="Times New Roman" w:hAnsiTheme="minorHAnsi" w:cstheme="minorHAnsi"/>
          <w:sz w:val="23"/>
          <w:szCs w:val="23"/>
          <w:lang w:val="en-US"/>
        </w:rPr>
        <w:t>) if you are experiencing difficulties. It is important that importers provide the correct exporters name (as appears on the list submitted to Manila) in order to prevent delays. CGA has a copy of the list and can assist with confirming the correct name (we cannot send you the list, but we can assist by e-mail or call in confirming what is on the list).</w:t>
      </w:r>
    </w:p>
    <w:p w:rsidR="003170A8" w:rsidRPr="002F2B2B" w:rsidRDefault="003170A8" w:rsidP="003170A8">
      <w:pPr>
        <w:spacing w:after="0"/>
        <w:rPr>
          <w:rFonts w:eastAsiaTheme="minorHAnsi"/>
          <w:sz w:val="24"/>
          <w:szCs w:val="24"/>
        </w:rPr>
      </w:pPr>
      <w:r>
        <w:rPr>
          <w:rFonts w:asciiTheme="minorHAnsi" w:eastAsia="Times New Roman" w:hAnsiTheme="minorHAnsi" w:cstheme="minorHAnsi"/>
          <w:b/>
          <w:color w:val="7030A0"/>
          <w:sz w:val="24"/>
          <w:szCs w:val="24"/>
          <w:u w:val="single"/>
          <w:lang w:val="en-US"/>
        </w:rPr>
        <w:t>MARKET ACCESS: CHINA</w:t>
      </w:r>
    </w:p>
    <w:p w:rsidR="003170A8" w:rsidRDefault="003170A8" w:rsidP="00055F10">
      <w:pPr>
        <w:spacing w:after="0"/>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According to the protocol with China the registered list (the so called “China List”) is sent to China each year, and once approved the registered production units and food business operators can send product to China. Unfortunately, the 2021 China list has had some delays </w:t>
      </w:r>
      <w:r w:rsidR="008E40E0">
        <w:rPr>
          <w:rFonts w:asciiTheme="minorHAnsi" w:eastAsia="Times New Roman" w:hAnsiTheme="minorHAnsi" w:cstheme="minorHAnsi"/>
          <w:sz w:val="24"/>
          <w:szCs w:val="24"/>
          <w:lang w:val="en-US"/>
        </w:rPr>
        <w:t>and has not been cleared – meaning that the Chinese market is only open to those who were registered and approved by China in 2021. Although the requirements for 2021 approval by China make no sense, DALRRD and industry are busy fulfilling these requirements, and hope to have all the actions completed without too much delay.</w:t>
      </w:r>
    </w:p>
    <w:p w:rsidR="008E40E0" w:rsidRPr="002F2B2B" w:rsidRDefault="008E40E0" w:rsidP="008E40E0">
      <w:pPr>
        <w:spacing w:after="0"/>
        <w:rPr>
          <w:rFonts w:eastAsiaTheme="minorHAnsi"/>
          <w:sz w:val="24"/>
          <w:szCs w:val="24"/>
        </w:rPr>
      </w:pPr>
      <w:r>
        <w:rPr>
          <w:rFonts w:asciiTheme="minorHAnsi" w:eastAsia="Times New Roman" w:hAnsiTheme="minorHAnsi" w:cstheme="minorHAnsi"/>
          <w:b/>
          <w:color w:val="7030A0"/>
          <w:sz w:val="24"/>
          <w:szCs w:val="24"/>
          <w:u w:val="single"/>
          <w:lang w:val="en-US"/>
        </w:rPr>
        <w:t>CGA DIRECTORS</w:t>
      </w:r>
    </w:p>
    <w:p w:rsidR="008E40E0" w:rsidRPr="00FA3D2B" w:rsidRDefault="008E40E0" w:rsidP="00055F10">
      <w:pPr>
        <w:spacing w:after="0"/>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Directors of CGA are elected by their respective regions, and receive no financial compensation for the time and effort they spend on CGA activities. 2021 marks the ten </w:t>
      </w:r>
      <w:r w:rsidR="006921BA">
        <w:rPr>
          <w:rFonts w:asciiTheme="minorHAnsi" w:eastAsia="Times New Roman" w:hAnsiTheme="minorHAnsi" w:cstheme="minorHAnsi"/>
          <w:sz w:val="24"/>
          <w:szCs w:val="24"/>
          <w:lang w:val="en-US"/>
        </w:rPr>
        <w:t>year in office as a Director for</w:t>
      </w:r>
      <w:r>
        <w:rPr>
          <w:rFonts w:asciiTheme="minorHAnsi" w:eastAsia="Times New Roman" w:hAnsiTheme="minorHAnsi" w:cstheme="minorHAnsi"/>
          <w:sz w:val="24"/>
          <w:szCs w:val="24"/>
          <w:lang w:val="en-US"/>
        </w:rPr>
        <w:t xml:space="preserve"> both Charles Rossouw (Senwes) and Paul Bristow (Zimbabwe). They join five other Directors who have served for over ten years; George Hall (19 years Boland), Jock Danckwerts (18 years East Cape Midlands), Per Noddeboe (18 years </w:t>
      </w:r>
      <w:proofErr w:type="spellStart"/>
      <w:r>
        <w:rPr>
          <w:rFonts w:asciiTheme="minorHAnsi" w:eastAsia="Times New Roman" w:hAnsiTheme="minorHAnsi" w:cstheme="minorHAnsi"/>
          <w:sz w:val="24"/>
          <w:szCs w:val="24"/>
          <w:lang w:val="en-US"/>
        </w:rPr>
        <w:t>Eswatini</w:t>
      </w:r>
      <w:proofErr w:type="spellEnd"/>
      <w:r>
        <w:rPr>
          <w:rFonts w:asciiTheme="minorHAnsi" w:eastAsia="Times New Roman" w:hAnsiTheme="minorHAnsi" w:cstheme="minorHAnsi"/>
          <w:sz w:val="24"/>
          <w:szCs w:val="24"/>
          <w:lang w:val="en-US"/>
        </w:rPr>
        <w:t>), Mike Woodburn (11 years KZN) and Phillip Dempsey (11 years Patensie).</w:t>
      </w:r>
    </w:p>
    <w:p w:rsidR="008A5702" w:rsidRPr="008A5702" w:rsidRDefault="008A5702" w:rsidP="008A570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PACKED AND SHIPPED</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23386D" w:rsidRPr="00901D81" w:rsidTr="00C42806">
        <w:trPr>
          <w:trHeight w:val="401"/>
        </w:trPr>
        <w:tc>
          <w:tcPr>
            <w:tcW w:w="2027" w:type="dxa"/>
          </w:tcPr>
          <w:p w:rsidR="0023386D" w:rsidRPr="00901D81" w:rsidRDefault="0023386D" w:rsidP="00C42806">
            <w:pPr>
              <w:spacing w:after="0" w:line="240" w:lineRule="auto"/>
              <w:rPr>
                <w:rFonts w:ascii="Arial" w:hAnsi="Arial" w:cs="Arial"/>
                <w:sz w:val="18"/>
                <w:szCs w:val="18"/>
              </w:rPr>
            </w:pPr>
            <w:r>
              <w:rPr>
                <w:rFonts w:ascii="Arial" w:hAnsi="Arial" w:cs="Arial"/>
                <w:sz w:val="18"/>
                <w:szCs w:val="18"/>
              </w:rPr>
              <w:t>To Week 18</w:t>
            </w:r>
          </w:p>
          <w:p w:rsidR="0023386D" w:rsidRPr="00901D81" w:rsidRDefault="0023386D" w:rsidP="00C42806">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Latest</w:t>
            </w:r>
          </w:p>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23386D" w:rsidRPr="00901D81" w:rsidRDefault="0023386D" w:rsidP="00C42806">
            <w:pPr>
              <w:spacing w:after="0" w:line="240" w:lineRule="auto"/>
              <w:jc w:val="right"/>
              <w:rPr>
                <w:rFonts w:ascii="Arial" w:hAnsi="Arial" w:cs="Arial"/>
                <w:sz w:val="18"/>
                <w:szCs w:val="18"/>
              </w:rPr>
            </w:pPr>
            <w:r w:rsidRPr="00901D81">
              <w:rPr>
                <w:rFonts w:ascii="Arial" w:hAnsi="Arial" w:cs="Arial"/>
                <w:sz w:val="18"/>
                <w:szCs w:val="18"/>
              </w:rPr>
              <w:t>Final Packed</w:t>
            </w:r>
          </w:p>
          <w:p w:rsidR="0023386D" w:rsidRPr="00901D81" w:rsidRDefault="0023386D" w:rsidP="00C42806">
            <w:pPr>
              <w:spacing w:after="0" w:line="240" w:lineRule="auto"/>
              <w:jc w:val="right"/>
              <w:rPr>
                <w:rFonts w:ascii="Arial" w:hAnsi="Arial" w:cs="Arial"/>
                <w:sz w:val="18"/>
                <w:szCs w:val="18"/>
              </w:rPr>
            </w:pPr>
          </w:p>
        </w:tc>
      </w:tr>
      <w:tr w:rsidR="0023386D" w:rsidRPr="00901D81" w:rsidTr="00C42806">
        <w:trPr>
          <w:trHeight w:val="200"/>
        </w:trPr>
        <w:tc>
          <w:tcPr>
            <w:tcW w:w="2027" w:type="dxa"/>
          </w:tcPr>
          <w:p w:rsidR="0023386D" w:rsidRPr="00901D81" w:rsidRDefault="0023386D" w:rsidP="00C42806">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2019</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2020</w:t>
            </w:r>
          </w:p>
        </w:tc>
      </w:tr>
      <w:tr w:rsidR="0023386D" w:rsidRPr="00901D81" w:rsidTr="00C42806">
        <w:trPr>
          <w:trHeight w:val="214"/>
        </w:trPr>
        <w:tc>
          <w:tcPr>
            <w:tcW w:w="2027" w:type="dxa"/>
          </w:tcPr>
          <w:p w:rsidR="0023386D" w:rsidRPr="00901D81" w:rsidRDefault="0023386D" w:rsidP="00C42806">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3.9 m</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3.7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5.2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1.1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1.9 m</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15.5 m</w:t>
            </w:r>
          </w:p>
        </w:tc>
      </w:tr>
      <w:tr w:rsidR="0023386D" w:rsidRPr="00901D81" w:rsidTr="00C42806">
        <w:trPr>
          <w:trHeight w:val="200"/>
        </w:trPr>
        <w:tc>
          <w:tcPr>
            <w:tcW w:w="2027" w:type="dxa"/>
          </w:tcPr>
          <w:p w:rsidR="0023386D" w:rsidRPr="00901D81" w:rsidRDefault="0023386D" w:rsidP="00C42806">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1.5 m</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2.3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3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1.6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1.3 m</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30.5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29.4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23.6 m</w:t>
            </w:r>
          </w:p>
        </w:tc>
      </w:tr>
      <w:tr w:rsidR="0023386D" w:rsidRPr="00901D81" w:rsidTr="00C42806">
        <w:trPr>
          <w:trHeight w:val="180"/>
        </w:trPr>
        <w:tc>
          <w:tcPr>
            <w:tcW w:w="2027" w:type="dxa"/>
          </w:tcPr>
          <w:p w:rsidR="0023386D" w:rsidRPr="00901D81" w:rsidRDefault="0023386D" w:rsidP="00C42806">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23386D" w:rsidRPr="00901D81" w:rsidRDefault="0023386D" w:rsidP="00C42806">
            <w:pPr>
              <w:spacing w:after="0" w:line="240" w:lineRule="auto"/>
              <w:jc w:val="right"/>
              <w:rPr>
                <w:rFonts w:ascii="Arial" w:hAnsi="Arial" w:cs="Arial"/>
                <w:sz w:val="18"/>
                <w:szCs w:val="18"/>
                <w:lang w:val="fr-FR"/>
              </w:rPr>
            </w:pPr>
            <w:r>
              <w:rPr>
                <w:rFonts w:ascii="Arial" w:hAnsi="Arial" w:cs="Arial"/>
                <w:sz w:val="18"/>
                <w:szCs w:val="18"/>
                <w:lang w:val="fr-FR"/>
              </w:rPr>
              <w:t>3.4 m</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lang w:val="fr-FR"/>
              </w:rPr>
            </w:pPr>
            <w:r>
              <w:rPr>
                <w:rFonts w:ascii="Arial" w:hAnsi="Arial" w:cs="Arial"/>
                <w:sz w:val="18"/>
                <w:szCs w:val="18"/>
                <w:lang w:val="fr-FR"/>
              </w:rPr>
              <w:t>8.8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lang w:val="fr-FR"/>
              </w:rPr>
            </w:pPr>
            <w:r>
              <w:rPr>
                <w:rFonts w:ascii="Arial" w:hAnsi="Arial" w:cs="Arial"/>
                <w:sz w:val="18"/>
                <w:szCs w:val="18"/>
                <w:lang w:val="fr-FR"/>
              </w:rPr>
              <w:t>8.6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5.6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6 m</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23386D" w:rsidRPr="00901D81" w:rsidTr="00C42806">
        <w:trPr>
          <w:trHeight w:val="200"/>
        </w:trPr>
        <w:tc>
          <w:tcPr>
            <w:tcW w:w="2027" w:type="dxa"/>
          </w:tcPr>
          <w:p w:rsidR="0023386D" w:rsidRPr="00901D81" w:rsidRDefault="0023386D" w:rsidP="00C42806">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23386D" w:rsidRPr="00901D81" w:rsidRDefault="0023386D" w:rsidP="00C42806">
            <w:pPr>
              <w:spacing w:after="0" w:line="240" w:lineRule="auto"/>
              <w:jc w:val="right"/>
              <w:rPr>
                <w:rFonts w:ascii="Arial" w:hAnsi="Arial" w:cs="Arial"/>
                <w:sz w:val="18"/>
                <w:szCs w:val="18"/>
                <w:lang w:val="fr-FR"/>
              </w:rPr>
            </w:pPr>
            <w:r>
              <w:rPr>
                <w:rFonts w:ascii="Arial" w:hAnsi="Arial" w:cs="Arial"/>
                <w:sz w:val="18"/>
                <w:szCs w:val="18"/>
                <w:lang w:val="fr-FR"/>
              </w:rPr>
              <w:t>0.3 m</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lang w:val="fr-FR"/>
              </w:rPr>
            </w:pPr>
            <w:r>
              <w:rPr>
                <w:rFonts w:ascii="Arial" w:hAnsi="Arial" w:cs="Arial"/>
                <w:sz w:val="18"/>
                <w:szCs w:val="18"/>
                <w:lang w:val="fr-FR"/>
              </w:rPr>
              <w:t>0.4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lang w:val="fr-FR"/>
              </w:rPr>
            </w:pPr>
            <w:r>
              <w:rPr>
                <w:rFonts w:ascii="Arial" w:hAnsi="Arial" w:cs="Arial"/>
                <w:sz w:val="18"/>
                <w:szCs w:val="18"/>
                <w:lang w:val="fr-FR"/>
              </w:rPr>
              <w:t>0.5 m</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0.1 m</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23386D" w:rsidRPr="00901D81" w:rsidTr="00C42806">
        <w:trPr>
          <w:trHeight w:val="245"/>
        </w:trPr>
        <w:tc>
          <w:tcPr>
            <w:tcW w:w="2027" w:type="dxa"/>
          </w:tcPr>
          <w:p w:rsidR="0023386D" w:rsidRPr="00901D81" w:rsidRDefault="0023386D" w:rsidP="00C42806">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0.2 m</w:t>
            </w:r>
          </w:p>
        </w:tc>
        <w:tc>
          <w:tcPr>
            <w:tcW w:w="0" w:type="auto"/>
            <w:tcBorders>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23386D" w:rsidRPr="00901D81" w:rsidRDefault="0023386D" w:rsidP="00C42806">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tcBorders>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23386D" w:rsidRPr="00901D81" w:rsidRDefault="0023386D" w:rsidP="00C42806">
            <w:pPr>
              <w:spacing w:after="0" w:line="240" w:lineRule="auto"/>
              <w:jc w:val="center"/>
              <w:rPr>
                <w:rFonts w:ascii="Arial" w:hAnsi="Arial" w:cs="Arial"/>
                <w:sz w:val="18"/>
                <w:szCs w:val="18"/>
              </w:rPr>
            </w:pPr>
            <w:r>
              <w:rPr>
                <w:rFonts w:ascii="Arial" w:hAnsi="Arial" w:cs="Arial"/>
                <w:sz w:val="18"/>
                <w:szCs w:val="18"/>
              </w:rPr>
              <w:t>55.1 m</w:t>
            </w:r>
          </w:p>
        </w:tc>
      </w:tr>
      <w:tr w:rsidR="0023386D" w:rsidRPr="00901D81" w:rsidTr="0023386D">
        <w:trPr>
          <w:trHeight w:val="214"/>
        </w:trPr>
        <w:tc>
          <w:tcPr>
            <w:tcW w:w="2027" w:type="dxa"/>
            <w:shd w:val="clear" w:color="auto" w:fill="BFBFBF" w:themeFill="background1" w:themeFillShade="BF"/>
          </w:tcPr>
          <w:p w:rsidR="0023386D" w:rsidRPr="0023386D" w:rsidRDefault="0023386D" w:rsidP="00C42806">
            <w:pPr>
              <w:spacing w:after="0" w:line="240" w:lineRule="auto"/>
              <w:rPr>
                <w:rFonts w:ascii="Arial" w:hAnsi="Arial" w:cs="Arial"/>
                <w:b/>
                <w:sz w:val="18"/>
                <w:szCs w:val="18"/>
              </w:rPr>
            </w:pPr>
            <w:r w:rsidRPr="0023386D">
              <w:rPr>
                <w:rFonts w:ascii="Arial" w:hAnsi="Arial" w:cs="Arial"/>
                <w:b/>
                <w:sz w:val="18"/>
                <w:szCs w:val="18"/>
              </w:rPr>
              <w:t>Total</w:t>
            </w:r>
          </w:p>
        </w:tc>
        <w:tc>
          <w:tcPr>
            <w:tcW w:w="0" w:type="auto"/>
            <w:shd w:val="clear" w:color="auto" w:fill="BFBFBF" w:themeFill="background1" w:themeFillShade="BF"/>
          </w:tcPr>
          <w:p w:rsidR="0023386D" w:rsidRPr="0023386D" w:rsidRDefault="0023386D" w:rsidP="00C42806">
            <w:pPr>
              <w:spacing w:after="0" w:line="240" w:lineRule="auto"/>
              <w:jc w:val="right"/>
              <w:rPr>
                <w:rFonts w:ascii="Arial" w:hAnsi="Arial" w:cs="Arial"/>
                <w:b/>
                <w:sz w:val="18"/>
                <w:szCs w:val="18"/>
              </w:rPr>
            </w:pPr>
            <w:r w:rsidRPr="0023386D">
              <w:rPr>
                <w:rFonts w:ascii="Arial" w:hAnsi="Arial" w:cs="Arial"/>
                <w:b/>
                <w:sz w:val="18"/>
                <w:szCs w:val="18"/>
              </w:rPr>
              <w:t>9.3 m</w:t>
            </w:r>
          </w:p>
        </w:tc>
        <w:tc>
          <w:tcPr>
            <w:tcW w:w="0" w:type="auto"/>
            <w:tcBorders>
              <w:right w:val="thinThickSmallGap" w:sz="24" w:space="0" w:color="auto"/>
            </w:tcBorders>
            <w:shd w:val="clear" w:color="auto" w:fill="BFBFBF" w:themeFill="background1" w:themeFillShade="BF"/>
          </w:tcPr>
          <w:p w:rsidR="0023386D" w:rsidRPr="0023386D" w:rsidRDefault="0023386D" w:rsidP="00C42806">
            <w:pPr>
              <w:spacing w:after="0" w:line="240" w:lineRule="auto"/>
              <w:jc w:val="right"/>
              <w:rPr>
                <w:rFonts w:ascii="Arial" w:hAnsi="Arial" w:cs="Arial"/>
                <w:b/>
                <w:sz w:val="18"/>
                <w:szCs w:val="18"/>
              </w:rPr>
            </w:pPr>
            <w:r w:rsidRPr="0023386D">
              <w:rPr>
                <w:rFonts w:ascii="Arial" w:hAnsi="Arial" w:cs="Arial"/>
                <w:b/>
                <w:sz w:val="18"/>
                <w:szCs w:val="18"/>
              </w:rPr>
              <w:t>15.2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BFBFBF" w:themeFill="background1" w:themeFillShade="BF"/>
          </w:tcPr>
          <w:p w:rsidR="0023386D" w:rsidRPr="0023386D" w:rsidRDefault="0023386D" w:rsidP="00C42806">
            <w:pPr>
              <w:spacing w:after="0" w:line="240" w:lineRule="auto"/>
              <w:jc w:val="right"/>
              <w:rPr>
                <w:rFonts w:ascii="Arial" w:hAnsi="Arial" w:cs="Arial"/>
                <w:b/>
                <w:sz w:val="18"/>
                <w:szCs w:val="18"/>
              </w:rPr>
            </w:pPr>
            <w:r w:rsidRPr="0023386D">
              <w:rPr>
                <w:rFonts w:ascii="Arial" w:hAnsi="Arial" w:cs="Arial"/>
                <w:b/>
                <w:sz w:val="18"/>
                <w:szCs w:val="18"/>
              </w:rPr>
              <w:t>17.3 m</w:t>
            </w:r>
          </w:p>
        </w:tc>
        <w:tc>
          <w:tcPr>
            <w:tcW w:w="0" w:type="auto"/>
            <w:tcBorders>
              <w:left w:val="thinThickSmallGap" w:sz="24" w:space="0" w:color="auto"/>
              <w:right w:val="thinThickSmallGap" w:sz="24" w:space="0" w:color="auto"/>
            </w:tcBorders>
            <w:shd w:val="clear" w:color="auto" w:fill="BFBFBF" w:themeFill="background1" w:themeFillShade="BF"/>
          </w:tcPr>
          <w:p w:rsidR="0023386D" w:rsidRPr="0023386D" w:rsidRDefault="0023386D" w:rsidP="00C42806">
            <w:pPr>
              <w:spacing w:after="0" w:line="240" w:lineRule="auto"/>
              <w:jc w:val="center"/>
              <w:rPr>
                <w:rFonts w:ascii="Arial" w:hAnsi="Arial" w:cs="Arial"/>
                <w:b/>
                <w:sz w:val="18"/>
                <w:szCs w:val="18"/>
              </w:rPr>
            </w:pPr>
            <w:r w:rsidRPr="0023386D">
              <w:rPr>
                <w:rFonts w:ascii="Arial" w:hAnsi="Arial" w:cs="Arial"/>
                <w:b/>
                <w:sz w:val="18"/>
                <w:szCs w:val="18"/>
              </w:rPr>
              <w:t>8.3 m</w:t>
            </w:r>
          </w:p>
        </w:tc>
        <w:tc>
          <w:tcPr>
            <w:tcW w:w="0" w:type="auto"/>
            <w:tcBorders>
              <w:left w:val="thinThickSmallGap" w:sz="24" w:space="0" w:color="auto"/>
              <w:right w:val="thinThickSmallGap" w:sz="24" w:space="0" w:color="auto"/>
            </w:tcBorders>
            <w:shd w:val="clear" w:color="auto" w:fill="BFBFBF" w:themeFill="background1" w:themeFillShade="BF"/>
          </w:tcPr>
          <w:p w:rsidR="0023386D" w:rsidRPr="0023386D" w:rsidRDefault="0023386D" w:rsidP="00C42806">
            <w:pPr>
              <w:spacing w:after="0" w:line="240" w:lineRule="auto"/>
              <w:jc w:val="center"/>
              <w:rPr>
                <w:rFonts w:ascii="Arial" w:hAnsi="Arial" w:cs="Arial"/>
                <w:b/>
                <w:sz w:val="18"/>
                <w:szCs w:val="18"/>
              </w:rPr>
            </w:pPr>
            <w:r w:rsidRPr="0023386D">
              <w:rPr>
                <w:rFonts w:ascii="Arial" w:hAnsi="Arial" w:cs="Arial"/>
                <w:b/>
                <w:sz w:val="18"/>
                <w:szCs w:val="18"/>
              </w:rPr>
              <w:t>9.3 m</w:t>
            </w:r>
          </w:p>
        </w:tc>
        <w:tc>
          <w:tcPr>
            <w:tcW w:w="0" w:type="auto"/>
            <w:tcBorders>
              <w:left w:val="thinThickSmallGap" w:sz="24" w:space="0" w:color="auto"/>
            </w:tcBorders>
            <w:shd w:val="clear" w:color="auto" w:fill="BFBFBF" w:themeFill="background1" w:themeFillShade="BF"/>
          </w:tcPr>
          <w:p w:rsidR="0023386D" w:rsidRPr="0023386D" w:rsidRDefault="0023386D" w:rsidP="00C42806">
            <w:pPr>
              <w:spacing w:after="0" w:line="240" w:lineRule="auto"/>
              <w:jc w:val="center"/>
              <w:rPr>
                <w:rFonts w:ascii="Arial" w:hAnsi="Arial" w:cs="Arial"/>
                <w:b/>
                <w:sz w:val="18"/>
                <w:szCs w:val="18"/>
              </w:rPr>
            </w:pPr>
            <w:r w:rsidRPr="0023386D">
              <w:rPr>
                <w:rFonts w:ascii="Arial" w:hAnsi="Arial" w:cs="Arial"/>
                <w:b/>
                <w:sz w:val="18"/>
                <w:szCs w:val="18"/>
              </w:rPr>
              <w:t>163 m</w:t>
            </w:r>
          </w:p>
        </w:tc>
        <w:tc>
          <w:tcPr>
            <w:tcW w:w="0" w:type="auto"/>
            <w:shd w:val="clear" w:color="auto" w:fill="BFBFBF" w:themeFill="background1" w:themeFillShade="BF"/>
          </w:tcPr>
          <w:p w:rsidR="0023386D" w:rsidRPr="0023386D" w:rsidRDefault="0023386D" w:rsidP="00C42806">
            <w:pPr>
              <w:spacing w:after="0" w:line="240" w:lineRule="auto"/>
              <w:jc w:val="center"/>
              <w:rPr>
                <w:rFonts w:ascii="Arial" w:hAnsi="Arial" w:cs="Arial"/>
                <w:b/>
                <w:sz w:val="18"/>
                <w:szCs w:val="18"/>
              </w:rPr>
            </w:pPr>
            <w:r w:rsidRPr="0023386D">
              <w:rPr>
                <w:rFonts w:ascii="Arial" w:hAnsi="Arial" w:cs="Arial"/>
                <w:b/>
                <w:sz w:val="18"/>
                <w:szCs w:val="18"/>
              </w:rPr>
              <w:t>161.9 m</w:t>
            </w:r>
          </w:p>
        </w:tc>
        <w:tc>
          <w:tcPr>
            <w:tcW w:w="0" w:type="auto"/>
            <w:shd w:val="clear" w:color="auto" w:fill="BFBFBF" w:themeFill="background1" w:themeFillShade="BF"/>
          </w:tcPr>
          <w:p w:rsidR="0023386D" w:rsidRPr="0023386D" w:rsidRDefault="0023386D" w:rsidP="00C42806">
            <w:pPr>
              <w:spacing w:after="0" w:line="240" w:lineRule="auto"/>
              <w:jc w:val="center"/>
              <w:rPr>
                <w:rFonts w:ascii="Arial" w:hAnsi="Arial" w:cs="Arial"/>
                <w:b/>
                <w:sz w:val="18"/>
                <w:szCs w:val="18"/>
              </w:rPr>
            </w:pPr>
            <w:r w:rsidRPr="0023386D">
              <w:rPr>
                <w:rFonts w:ascii="Arial" w:hAnsi="Arial" w:cs="Arial"/>
                <w:b/>
                <w:sz w:val="18"/>
                <w:szCs w:val="18"/>
              </w:rPr>
              <w:t>150 m</w:t>
            </w:r>
          </w:p>
        </w:tc>
      </w:tr>
    </w:tbl>
    <w:p w:rsidR="008A5702" w:rsidRDefault="008A5702" w:rsidP="008A5702"/>
    <w:p w:rsidR="00FF218A" w:rsidRPr="009B1F88" w:rsidRDefault="00FF218A" w:rsidP="00DD3A75">
      <w:pPr>
        <w:spacing w:after="0"/>
        <w:rPr>
          <w:rFonts w:asciiTheme="minorHAnsi" w:eastAsia="Times New Roman" w:hAnsiTheme="minorHAnsi" w:cstheme="minorHAnsi"/>
          <w:sz w:val="24"/>
          <w:szCs w:val="24"/>
          <w:lang w:val="en-US"/>
        </w:rPr>
      </w:pPr>
    </w:p>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E0" w:rsidRDefault="00B339E0" w:rsidP="00595E08">
      <w:pPr>
        <w:spacing w:after="0" w:line="240" w:lineRule="auto"/>
      </w:pPr>
      <w:r>
        <w:separator/>
      </w:r>
    </w:p>
  </w:endnote>
  <w:endnote w:type="continuationSeparator" w:id="0">
    <w:p w:rsidR="00B339E0" w:rsidRDefault="00B339E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E0" w:rsidRDefault="00B339E0" w:rsidP="00595E08">
      <w:pPr>
        <w:spacing w:after="0" w:line="240" w:lineRule="auto"/>
      </w:pPr>
      <w:r>
        <w:separator/>
      </w:r>
    </w:p>
  </w:footnote>
  <w:footnote w:type="continuationSeparator" w:id="0">
    <w:p w:rsidR="00B339E0" w:rsidRDefault="00B339E0"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679B"/>
    <w:rsid w:val="001C723E"/>
    <w:rsid w:val="001D36FE"/>
    <w:rsid w:val="001D5666"/>
    <w:rsid w:val="001D573C"/>
    <w:rsid w:val="001D69A2"/>
    <w:rsid w:val="001D7278"/>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735C"/>
    <w:rsid w:val="00244DA4"/>
    <w:rsid w:val="00250E1D"/>
    <w:rsid w:val="002512C0"/>
    <w:rsid w:val="00267052"/>
    <w:rsid w:val="0027201C"/>
    <w:rsid w:val="0027721A"/>
    <w:rsid w:val="00280379"/>
    <w:rsid w:val="00280B32"/>
    <w:rsid w:val="00280BC7"/>
    <w:rsid w:val="00297526"/>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736BF"/>
    <w:rsid w:val="0038002B"/>
    <w:rsid w:val="003858A1"/>
    <w:rsid w:val="003959C7"/>
    <w:rsid w:val="00397378"/>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117"/>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5508"/>
    <w:rsid w:val="008E3E09"/>
    <w:rsid w:val="008E40E0"/>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39E0"/>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D7B98"/>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A0CE9"/>
    <w:rsid w:val="00DB0052"/>
    <w:rsid w:val="00DB4748"/>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71DFE"/>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C667"/>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9</cp:revision>
  <cp:lastPrinted>2021-02-17T14:21:00Z</cp:lastPrinted>
  <dcterms:created xsi:type="dcterms:W3CDTF">2021-05-06T10:16:00Z</dcterms:created>
  <dcterms:modified xsi:type="dcterms:W3CDTF">2021-05-07T13:53:00Z</dcterms:modified>
</cp:coreProperties>
</file>