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7E75E8">
        <w:rPr>
          <w:rFonts w:ascii="Comic Sans MS" w:hAnsi="Comic Sans MS"/>
          <w:b/>
          <w:i/>
          <w:sz w:val="40"/>
          <w:szCs w:val="40"/>
        </w:rPr>
        <w:t>21</w:t>
      </w:r>
      <w:r w:rsidR="00CE71FD">
        <w:rPr>
          <w:rFonts w:ascii="Comic Sans MS" w:hAnsi="Comic Sans MS"/>
          <w:b/>
          <w:i/>
          <w:sz w:val="40"/>
          <w:szCs w:val="40"/>
        </w:rPr>
        <w:t>/20</w:t>
      </w:r>
      <w:r w:rsidRPr="00490CA8">
        <w:rPr>
          <w:rFonts w:ascii="Comic Sans MS" w:hAnsi="Comic Sans MS"/>
          <w:b/>
          <w:i/>
          <w:sz w:val="40"/>
          <w:szCs w:val="40"/>
        </w:rPr>
        <w:t>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 xml:space="preserve">(Follow me on Twitter </w:t>
      </w:r>
      <w:proofErr w:type="spellStart"/>
      <w:r w:rsidRPr="00EF7AA5">
        <w:rPr>
          <w:rFonts w:ascii="Comic Sans MS" w:hAnsi="Comic Sans MS"/>
          <w:b/>
          <w:color w:val="00B050"/>
          <w:sz w:val="21"/>
          <w:szCs w:val="21"/>
        </w:rPr>
        <w:t>justchad_cga</w:t>
      </w:r>
      <w:proofErr w:type="spellEnd"/>
      <w:r w:rsidRPr="00EF7AA5">
        <w:rPr>
          <w:rFonts w:ascii="Comic Sans MS" w:hAnsi="Comic Sans MS"/>
          <w:b/>
          <w:color w:val="00B050"/>
          <w:sz w:val="21"/>
          <w:szCs w:val="21"/>
        </w:rPr>
        <w:t>)</w:t>
      </w:r>
    </w:p>
    <w:p w:rsidR="00361403" w:rsidRDefault="00CC000B" w:rsidP="00A751D8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 xml:space="preserve">Justin Chadwick </w:t>
      </w:r>
      <w:r w:rsidR="007E75E8">
        <w:rPr>
          <w:rFonts w:ascii="Comic Sans MS" w:hAnsi="Comic Sans MS"/>
          <w:i/>
          <w:sz w:val="21"/>
          <w:szCs w:val="21"/>
        </w:rPr>
        <w:t>5 June</w:t>
      </w:r>
      <w:r w:rsidR="00CE71FD">
        <w:rPr>
          <w:rFonts w:ascii="Comic Sans MS" w:hAnsi="Comic Sans MS"/>
          <w:i/>
          <w:sz w:val="21"/>
          <w:szCs w:val="21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F86B24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836320" w:rsidRPr="009F2D0F" w:rsidRDefault="004A371F" w:rsidP="007E75E8">
            <w:pPr>
              <w:pStyle w:val="Default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812078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  <w:t>“</w:t>
            </w:r>
            <w:r w:rsidR="00A83EA2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  <w:t>Do what you can, where you are, with what you have” Teddy Roosevelt</w:t>
            </w:r>
          </w:p>
        </w:tc>
      </w:tr>
    </w:tbl>
    <w:p w:rsidR="002B3545" w:rsidRPr="009F2D0F" w:rsidRDefault="007E75E8" w:rsidP="002B3545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1"/>
          <w:szCs w:val="21"/>
          <w:u w:val="single"/>
          <w:lang w:val="en-US"/>
        </w:rPr>
      </w:pPr>
      <w:r w:rsidRPr="009F2D0F">
        <w:rPr>
          <w:rFonts w:asciiTheme="minorHAnsi" w:eastAsia="Times New Roman" w:hAnsiTheme="minorHAnsi" w:cstheme="minorHAnsi"/>
          <w:b/>
          <w:color w:val="2F5496" w:themeColor="accent5" w:themeShade="BF"/>
          <w:sz w:val="21"/>
          <w:szCs w:val="21"/>
          <w:u w:val="single"/>
          <w:lang w:val="en-US"/>
        </w:rPr>
        <w:t>WORLD CITRUS ORGANISATION (WCO)</w:t>
      </w:r>
      <w:r w:rsidR="009F2D0F">
        <w:rPr>
          <w:rFonts w:asciiTheme="minorHAnsi" w:eastAsia="Times New Roman" w:hAnsiTheme="minorHAnsi" w:cstheme="minorHAnsi"/>
          <w:b/>
          <w:color w:val="2F5496" w:themeColor="accent5" w:themeShade="BF"/>
          <w:sz w:val="21"/>
          <w:szCs w:val="21"/>
          <w:u w:val="single"/>
          <w:lang w:val="en-US"/>
        </w:rPr>
        <w:t>: SOUTHERN HEMISPHERE ESTIMATE FOR 2020</w:t>
      </w:r>
    </w:p>
    <w:p w:rsidR="00DC2FBC" w:rsidRPr="009F2D0F" w:rsidRDefault="007E75E8" w:rsidP="00664C26">
      <w:pPr>
        <w:spacing w:after="0"/>
        <w:rPr>
          <w:sz w:val="21"/>
          <w:szCs w:val="21"/>
        </w:rPr>
      </w:pPr>
      <w:r w:rsidRPr="009F2D0F">
        <w:rPr>
          <w:sz w:val="21"/>
          <w:szCs w:val="21"/>
        </w:rPr>
        <w:t xml:space="preserve">It is pleasing to see that most progressive industry associations have joined as country members of the WCO, as have a number of companies active in the citrus industry. </w:t>
      </w:r>
    </w:p>
    <w:p w:rsidR="007E75E8" w:rsidRPr="009F2D0F" w:rsidRDefault="007E75E8" w:rsidP="00664C26">
      <w:pPr>
        <w:spacing w:after="0"/>
        <w:rPr>
          <w:sz w:val="21"/>
          <w:szCs w:val="21"/>
        </w:rPr>
      </w:pPr>
      <w:r w:rsidRPr="009F2D0F">
        <w:rPr>
          <w:sz w:val="21"/>
          <w:szCs w:val="21"/>
        </w:rPr>
        <w:t>The WCO have released the southern hemisphere est</w:t>
      </w:r>
      <w:r w:rsidR="009F2D0F" w:rsidRPr="009F2D0F">
        <w:rPr>
          <w:sz w:val="21"/>
          <w:szCs w:val="21"/>
        </w:rPr>
        <w:t>imate for 2020. A</w:t>
      </w:r>
      <w:r w:rsidRPr="009F2D0F">
        <w:rPr>
          <w:sz w:val="21"/>
          <w:szCs w:val="21"/>
        </w:rPr>
        <w:t>nalysis has been done on the export data.</w:t>
      </w:r>
    </w:p>
    <w:p w:rsidR="007E75E8" w:rsidRDefault="007E75E8" w:rsidP="00664C26">
      <w:pPr>
        <w:spacing w:after="0"/>
      </w:pPr>
      <w:r>
        <w:rPr>
          <w:noProof/>
          <w:lang w:eastAsia="en-ZA"/>
        </w:rPr>
        <w:drawing>
          <wp:inline distT="0" distB="0" distL="0" distR="0" wp14:anchorId="1A580FC1">
            <wp:extent cx="3171825" cy="2028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75E8">
        <w:rPr>
          <w:noProof/>
          <w:lang w:eastAsia="en-ZA"/>
        </w:rPr>
        <w:drawing>
          <wp:inline distT="0" distB="0" distL="0" distR="0" wp14:anchorId="5A9589BB">
            <wp:extent cx="3257550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5E8" w:rsidRPr="009F2D0F" w:rsidRDefault="007E75E8" w:rsidP="009F2D0F">
      <w:pPr>
        <w:spacing w:after="0"/>
        <w:rPr>
          <w:sz w:val="21"/>
          <w:szCs w:val="21"/>
        </w:rPr>
      </w:pPr>
      <w:r w:rsidRPr="009F2D0F">
        <w:rPr>
          <w:sz w:val="21"/>
          <w:szCs w:val="21"/>
        </w:rPr>
        <w:t>Since 2015, southern hemisphere export volumes have been on an upward trajectory, with a slight dip in 2019. The 2020 southern hemisphere estimate shows a resumption in th</w:t>
      </w:r>
      <w:r w:rsidR="009F2D0F">
        <w:rPr>
          <w:sz w:val="21"/>
          <w:szCs w:val="21"/>
        </w:rPr>
        <w:t>at trajectory (</w:t>
      </w:r>
      <w:r w:rsidRPr="009F2D0F">
        <w:rPr>
          <w:sz w:val="21"/>
          <w:szCs w:val="21"/>
        </w:rPr>
        <w:t>12% increase</w:t>
      </w:r>
      <w:r w:rsidR="009F2D0F">
        <w:rPr>
          <w:sz w:val="21"/>
          <w:szCs w:val="21"/>
        </w:rPr>
        <w:t>)</w:t>
      </w:r>
      <w:r w:rsidRPr="009F2D0F">
        <w:rPr>
          <w:sz w:val="21"/>
          <w:szCs w:val="21"/>
        </w:rPr>
        <w:t xml:space="preserve">. In these uncertain times, many will be watching the actual shipments to see how the sector performs. </w:t>
      </w:r>
      <w:r w:rsidR="009F2D0F" w:rsidRPr="009F2D0F">
        <w:rPr>
          <w:sz w:val="21"/>
          <w:szCs w:val="21"/>
        </w:rPr>
        <w:t>L</w:t>
      </w:r>
      <w:r w:rsidRPr="009F2D0F">
        <w:rPr>
          <w:sz w:val="21"/>
          <w:szCs w:val="21"/>
        </w:rPr>
        <w:t xml:space="preserve">emon and easy peeler sectors are showing the most significant increases, not surprising given additional area planted to these varieties. </w:t>
      </w:r>
    </w:p>
    <w:p w:rsidR="009F2D0F" w:rsidRDefault="009F2D0F" w:rsidP="00664C26">
      <w:pPr>
        <w:spacing w:after="0"/>
      </w:pPr>
      <w:r>
        <w:rPr>
          <w:noProof/>
          <w:lang w:eastAsia="en-ZA"/>
        </w:rPr>
        <w:drawing>
          <wp:inline distT="0" distB="0" distL="0" distR="0" wp14:anchorId="4CA113E0">
            <wp:extent cx="3114675" cy="2113201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33" cy="211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213CC642">
            <wp:extent cx="3095625" cy="21190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87" cy="21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D0F" w:rsidRPr="009F2D0F" w:rsidRDefault="009F2D0F" w:rsidP="00664C26">
      <w:pPr>
        <w:spacing w:after="0"/>
        <w:rPr>
          <w:sz w:val="21"/>
          <w:szCs w:val="21"/>
        </w:rPr>
      </w:pPr>
      <w:r>
        <w:rPr>
          <w:sz w:val="21"/>
          <w:szCs w:val="21"/>
        </w:rPr>
        <w:t>T</w:t>
      </w:r>
      <w:r w:rsidRPr="009F2D0F">
        <w:rPr>
          <w:sz w:val="21"/>
          <w:szCs w:val="21"/>
        </w:rPr>
        <w:t>he southern hemisphere citrus basket has changed substantially from that of 2015.</w:t>
      </w:r>
    </w:p>
    <w:p w:rsidR="00812078" w:rsidRPr="009F2D0F" w:rsidRDefault="00273461" w:rsidP="0043300C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u w:val="single"/>
          <w:lang w:val="en-US"/>
        </w:rPr>
      </w:pPr>
      <w:r w:rsidRPr="009F2D0F"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u w:val="single"/>
          <w:lang w:val="en-US"/>
        </w:rPr>
        <w:t>PACKED AND SHIPPED</w:t>
      </w:r>
      <w:r w:rsidR="00747DB9" w:rsidRPr="009F2D0F"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u w:val="single"/>
          <w:lang w:val="en-US"/>
        </w:rPr>
        <w:t xml:space="preserve"> </w:t>
      </w:r>
    </w:p>
    <w:tbl>
      <w:tblPr>
        <w:tblW w:w="1021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172"/>
        <w:gridCol w:w="839"/>
        <w:gridCol w:w="920"/>
        <w:gridCol w:w="901"/>
        <w:gridCol w:w="1003"/>
        <w:gridCol w:w="982"/>
        <w:gridCol w:w="1102"/>
        <w:gridCol w:w="1134"/>
        <w:gridCol w:w="1163"/>
      </w:tblGrid>
      <w:tr w:rsidR="00273461" w:rsidRPr="00F3607A" w:rsidTr="00742FCB">
        <w:trPr>
          <w:trHeight w:val="4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1" w:rsidRPr="00F3607A" w:rsidRDefault="00273461" w:rsidP="00742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Mill</w:t>
            </w:r>
            <w:r w:rsidR="000B2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ion 15 Kg Cartons </w:t>
            </w:r>
            <w:r w:rsidR="007E7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 end Week 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Original 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Latest Prediction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Final Packed</w:t>
            </w:r>
          </w:p>
        </w:tc>
        <w:bookmarkStart w:id="0" w:name="_GoBack"/>
        <w:bookmarkEnd w:id="0"/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1" w:rsidRPr="00F3607A" w:rsidRDefault="00273461" w:rsidP="00742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SOURCE: PPECB/</w:t>
            </w:r>
            <w:proofErr w:type="spellStart"/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AgriHub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Grapefruit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9.8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9.8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9.5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6.4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6.9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16.7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664C26" w:rsidRDefault="00747DB9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664C26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14.6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273461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16.1 m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Soft Citrus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5.6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5.6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7.4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026B73" w:rsidRDefault="00AF2F84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22.7</w:t>
            </w:r>
            <w:r w:rsidR="000B1C6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026B73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18.3 m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Lemons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9.6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9.3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15.1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6.4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11.4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0B1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8C0D16" w:rsidRDefault="0052703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8C0D16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27.6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B8169D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22.1 m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Navels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6.3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5.2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6.5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1.8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3F75F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26.5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3F75F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24.3 m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Valencia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0.3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0.4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0.5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747DB9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8C0D16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8C0D16" w:rsidRDefault="00B15F0E" w:rsidP="0012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C0D16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</w:t>
            </w:r>
            <w:r w:rsidR="001252F0" w:rsidRPr="008C0D16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  <w:r w:rsidRPr="008C0D16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0952D1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46.8 m</w:t>
            </w:r>
          </w:p>
        </w:tc>
      </w:tr>
      <w:tr w:rsidR="00273461" w:rsidRPr="00F3607A" w:rsidTr="00742FCB">
        <w:trPr>
          <w:trHeight w:val="2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EE2D3E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31.6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273461" w:rsidRPr="00F3607A" w:rsidRDefault="00EE2D3E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30.3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EE2D3E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39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273461" w:rsidRPr="00F3607A" w:rsidRDefault="00EE2D3E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18.4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EE2D3E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25.9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692572" w:rsidP="00125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141</w:t>
            </w:r>
            <w:r w:rsidR="00527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  <w:r w:rsidR="000A5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127.5 m</w:t>
            </w:r>
          </w:p>
        </w:tc>
      </w:tr>
    </w:tbl>
    <w:p w:rsidR="00273461" w:rsidRPr="005948CD" w:rsidRDefault="00273461" w:rsidP="00812078">
      <w:pPr>
        <w:jc w:val="both"/>
        <w:rPr>
          <w:rFonts w:asciiTheme="minorHAnsi" w:eastAsia="Times New Roman" w:hAnsiTheme="minorHAnsi" w:cstheme="minorHAnsi"/>
          <w:lang w:val="en-US"/>
        </w:rPr>
      </w:pPr>
    </w:p>
    <w:sectPr w:rsidR="00273461" w:rsidRPr="005948CD" w:rsidSect="005859D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5F" w:rsidRDefault="00430E5F" w:rsidP="00595E08">
      <w:pPr>
        <w:spacing w:after="0" w:line="240" w:lineRule="auto"/>
      </w:pPr>
      <w:r>
        <w:separator/>
      </w:r>
    </w:p>
  </w:endnote>
  <w:endnote w:type="continuationSeparator" w:id="0">
    <w:p w:rsidR="00430E5F" w:rsidRDefault="00430E5F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64" w:rsidRPr="00CE71FD" w:rsidRDefault="00536B64" w:rsidP="00536B64">
    <w:pPr>
      <w:spacing w:after="0" w:line="240" w:lineRule="auto"/>
      <w:ind w:right="-330"/>
      <w:jc w:val="center"/>
      <w:rPr>
        <w:rFonts w:ascii="Arial" w:hAnsi="Arial" w:cs="Arial"/>
        <w:b/>
        <w:color w:val="C00000"/>
        <w:sz w:val="21"/>
        <w:szCs w:val="21"/>
      </w:rPr>
    </w:pPr>
    <w:r w:rsidRPr="00CE71FD">
      <w:rPr>
        <w:rFonts w:ascii="Arial" w:hAnsi="Arial" w:cs="Arial"/>
        <w:b/>
        <w:color w:val="C00000"/>
        <w:sz w:val="21"/>
        <w:szCs w:val="21"/>
      </w:rPr>
      <w:t>CGA GROUP OF COMPANIES (CRI, RIVER BIOSCIENCE, XSIT, CGA CULTIVAR COMPANY,</w:t>
    </w:r>
  </w:p>
  <w:p w:rsidR="00536B64" w:rsidRPr="00CE71FD" w:rsidRDefault="00536B64" w:rsidP="00536B64">
    <w:pPr>
      <w:spacing w:after="0" w:line="240" w:lineRule="auto"/>
      <w:ind w:right="-330"/>
      <w:jc w:val="center"/>
      <w:rPr>
        <w:rFonts w:ascii="Arial" w:hAnsi="Arial" w:cs="Arial"/>
        <w:b/>
        <w:color w:val="C00000"/>
        <w:sz w:val="21"/>
        <w:szCs w:val="21"/>
      </w:rPr>
    </w:pPr>
    <w:r w:rsidRPr="00CE71FD">
      <w:rPr>
        <w:rFonts w:ascii="Arial" w:hAnsi="Arial" w:cs="Arial"/>
        <w:b/>
        <w:color w:val="C00000"/>
        <w:sz w:val="21"/>
        <w:szCs w:val="21"/>
      </w:rPr>
      <w:t>CGA GROWER DEVELOPMENT COMPANY &amp; CITRUS ACADEMY) ARE FUNDED BY THE</w:t>
    </w:r>
  </w:p>
  <w:p w:rsidR="00536B64" w:rsidRDefault="00536B64" w:rsidP="00536B64">
    <w:pPr>
      <w:pStyle w:val="Footer"/>
      <w:jc w:val="center"/>
    </w:pPr>
    <w:r w:rsidRPr="00CE71FD">
      <w:rPr>
        <w:rFonts w:ascii="Arial" w:hAnsi="Arial" w:cs="Arial"/>
        <w:b/>
        <w:color w:val="C00000"/>
        <w:sz w:val="21"/>
        <w:szCs w:val="21"/>
      </w:rPr>
      <w:t>SOUTHERN AFRICAN CITRUS GROWERS</w:t>
    </w:r>
  </w:p>
  <w:p w:rsidR="00536B64" w:rsidRDefault="00536B64">
    <w:pPr>
      <w:pStyle w:val="Footer"/>
    </w:pPr>
  </w:p>
  <w:p w:rsidR="00595E08" w:rsidRDefault="00595E08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5F" w:rsidRDefault="00430E5F" w:rsidP="00595E08">
      <w:pPr>
        <w:spacing w:after="0" w:line="240" w:lineRule="auto"/>
      </w:pPr>
      <w:r>
        <w:separator/>
      </w:r>
    </w:p>
  </w:footnote>
  <w:footnote w:type="continuationSeparator" w:id="0">
    <w:p w:rsidR="00430E5F" w:rsidRDefault="00430E5F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6153"/>
    <w:rsid w:val="00031C21"/>
    <w:rsid w:val="00040706"/>
    <w:rsid w:val="00045FE2"/>
    <w:rsid w:val="00047EA1"/>
    <w:rsid w:val="00070D40"/>
    <w:rsid w:val="0008376F"/>
    <w:rsid w:val="000A258A"/>
    <w:rsid w:val="000A2A31"/>
    <w:rsid w:val="000A2F5C"/>
    <w:rsid w:val="000A39E7"/>
    <w:rsid w:val="000A53FE"/>
    <w:rsid w:val="000B1C65"/>
    <w:rsid w:val="000B24CA"/>
    <w:rsid w:val="000C4E72"/>
    <w:rsid w:val="000D2F64"/>
    <w:rsid w:val="000D629E"/>
    <w:rsid w:val="000D7425"/>
    <w:rsid w:val="000E541C"/>
    <w:rsid w:val="000F059E"/>
    <w:rsid w:val="000F28FF"/>
    <w:rsid w:val="000F5B14"/>
    <w:rsid w:val="00110F70"/>
    <w:rsid w:val="001218D8"/>
    <w:rsid w:val="00122FC7"/>
    <w:rsid w:val="00124699"/>
    <w:rsid w:val="001252F0"/>
    <w:rsid w:val="00136127"/>
    <w:rsid w:val="0013711F"/>
    <w:rsid w:val="00142E5B"/>
    <w:rsid w:val="0015485D"/>
    <w:rsid w:val="001719E6"/>
    <w:rsid w:val="00174465"/>
    <w:rsid w:val="00175573"/>
    <w:rsid w:val="00175734"/>
    <w:rsid w:val="001757E7"/>
    <w:rsid w:val="00177BFC"/>
    <w:rsid w:val="00180D03"/>
    <w:rsid w:val="00181B2D"/>
    <w:rsid w:val="00185357"/>
    <w:rsid w:val="00190EE1"/>
    <w:rsid w:val="001A29BD"/>
    <w:rsid w:val="001B1783"/>
    <w:rsid w:val="001B203D"/>
    <w:rsid w:val="001C679B"/>
    <w:rsid w:val="001D36FE"/>
    <w:rsid w:val="001D573C"/>
    <w:rsid w:val="001D69A2"/>
    <w:rsid w:val="0020144B"/>
    <w:rsid w:val="00205049"/>
    <w:rsid w:val="00211CCD"/>
    <w:rsid w:val="002139DB"/>
    <w:rsid w:val="00216CC1"/>
    <w:rsid w:val="002176D6"/>
    <w:rsid w:val="00225418"/>
    <w:rsid w:val="00230CA5"/>
    <w:rsid w:val="002341C4"/>
    <w:rsid w:val="0023735C"/>
    <w:rsid w:val="00240EE6"/>
    <w:rsid w:val="00244DA4"/>
    <w:rsid w:val="002512C0"/>
    <w:rsid w:val="00267052"/>
    <w:rsid w:val="0027201C"/>
    <w:rsid w:val="00273461"/>
    <w:rsid w:val="00280379"/>
    <w:rsid w:val="00280B32"/>
    <w:rsid w:val="00297526"/>
    <w:rsid w:val="002A3E51"/>
    <w:rsid w:val="002A597D"/>
    <w:rsid w:val="002A5A13"/>
    <w:rsid w:val="002A605C"/>
    <w:rsid w:val="002B3545"/>
    <w:rsid w:val="002C18E4"/>
    <w:rsid w:val="002C4D3A"/>
    <w:rsid w:val="002C616B"/>
    <w:rsid w:val="002C65CD"/>
    <w:rsid w:val="002D122B"/>
    <w:rsid w:val="002D17EB"/>
    <w:rsid w:val="002E1866"/>
    <w:rsid w:val="002F0208"/>
    <w:rsid w:val="002F2F8A"/>
    <w:rsid w:val="002F5CD3"/>
    <w:rsid w:val="0030169A"/>
    <w:rsid w:val="00313CB1"/>
    <w:rsid w:val="00325D4E"/>
    <w:rsid w:val="00337B83"/>
    <w:rsid w:val="003474D9"/>
    <w:rsid w:val="00352FAF"/>
    <w:rsid w:val="00361403"/>
    <w:rsid w:val="003624E4"/>
    <w:rsid w:val="003959C7"/>
    <w:rsid w:val="003B09E4"/>
    <w:rsid w:val="003B3CE2"/>
    <w:rsid w:val="003B7DEC"/>
    <w:rsid w:val="003C0D53"/>
    <w:rsid w:val="003C27D4"/>
    <w:rsid w:val="003D193B"/>
    <w:rsid w:val="003D70AB"/>
    <w:rsid w:val="003F042E"/>
    <w:rsid w:val="003F0C6F"/>
    <w:rsid w:val="003F2574"/>
    <w:rsid w:val="003F6E31"/>
    <w:rsid w:val="003F7804"/>
    <w:rsid w:val="00402546"/>
    <w:rsid w:val="004046F2"/>
    <w:rsid w:val="0040634F"/>
    <w:rsid w:val="00417E8D"/>
    <w:rsid w:val="00426110"/>
    <w:rsid w:val="00430E5F"/>
    <w:rsid w:val="0043300C"/>
    <w:rsid w:val="00452062"/>
    <w:rsid w:val="00455927"/>
    <w:rsid w:val="004645E1"/>
    <w:rsid w:val="004711F0"/>
    <w:rsid w:val="00473BDF"/>
    <w:rsid w:val="004911D6"/>
    <w:rsid w:val="00495189"/>
    <w:rsid w:val="00496A4F"/>
    <w:rsid w:val="004A0BC7"/>
    <w:rsid w:val="004A1073"/>
    <w:rsid w:val="004A371F"/>
    <w:rsid w:val="004B158E"/>
    <w:rsid w:val="004B20D5"/>
    <w:rsid w:val="004C29DE"/>
    <w:rsid w:val="004C529E"/>
    <w:rsid w:val="004C73F2"/>
    <w:rsid w:val="004D3ECA"/>
    <w:rsid w:val="004E0F63"/>
    <w:rsid w:val="004E60FC"/>
    <w:rsid w:val="00502EEB"/>
    <w:rsid w:val="0050561C"/>
    <w:rsid w:val="00505C06"/>
    <w:rsid w:val="00526601"/>
    <w:rsid w:val="00527036"/>
    <w:rsid w:val="005330E2"/>
    <w:rsid w:val="005350A0"/>
    <w:rsid w:val="005369A5"/>
    <w:rsid w:val="00536B64"/>
    <w:rsid w:val="00541EB1"/>
    <w:rsid w:val="00546152"/>
    <w:rsid w:val="00547C6C"/>
    <w:rsid w:val="00554C86"/>
    <w:rsid w:val="00562B1F"/>
    <w:rsid w:val="00566C56"/>
    <w:rsid w:val="00572AA0"/>
    <w:rsid w:val="005822CF"/>
    <w:rsid w:val="005859D8"/>
    <w:rsid w:val="0058684F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E05EF"/>
    <w:rsid w:val="005E29B8"/>
    <w:rsid w:val="005E62DC"/>
    <w:rsid w:val="005F2989"/>
    <w:rsid w:val="005F4137"/>
    <w:rsid w:val="00600B79"/>
    <w:rsid w:val="00601C02"/>
    <w:rsid w:val="006042E1"/>
    <w:rsid w:val="00611C22"/>
    <w:rsid w:val="00612231"/>
    <w:rsid w:val="00613228"/>
    <w:rsid w:val="006254FA"/>
    <w:rsid w:val="006302CB"/>
    <w:rsid w:val="0063644A"/>
    <w:rsid w:val="006412FF"/>
    <w:rsid w:val="00641661"/>
    <w:rsid w:val="0064682B"/>
    <w:rsid w:val="00663769"/>
    <w:rsid w:val="00664C26"/>
    <w:rsid w:val="00670FBB"/>
    <w:rsid w:val="0067189B"/>
    <w:rsid w:val="006832EE"/>
    <w:rsid w:val="006852F9"/>
    <w:rsid w:val="00690E5D"/>
    <w:rsid w:val="00691BB4"/>
    <w:rsid w:val="00692572"/>
    <w:rsid w:val="0069320C"/>
    <w:rsid w:val="0069350E"/>
    <w:rsid w:val="00693FA4"/>
    <w:rsid w:val="00695012"/>
    <w:rsid w:val="006A0B6E"/>
    <w:rsid w:val="006A46A9"/>
    <w:rsid w:val="006A5DD3"/>
    <w:rsid w:val="006B1214"/>
    <w:rsid w:val="006B4A84"/>
    <w:rsid w:val="006C59A8"/>
    <w:rsid w:val="006D1ED3"/>
    <w:rsid w:val="006E0A15"/>
    <w:rsid w:val="006E394D"/>
    <w:rsid w:val="006F43EB"/>
    <w:rsid w:val="00705032"/>
    <w:rsid w:val="00705569"/>
    <w:rsid w:val="007264AE"/>
    <w:rsid w:val="00731F8B"/>
    <w:rsid w:val="00732CB3"/>
    <w:rsid w:val="007443C4"/>
    <w:rsid w:val="00747DB9"/>
    <w:rsid w:val="00756469"/>
    <w:rsid w:val="00756592"/>
    <w:rsid w:val="00756C64"/>
    <w:rsid w:val="00757321"/>
    <w:rsid w:val="00761318"/>
    <w:rsid w:val="00762C4F"/>
    <w:rsid w:val="007666C5"/>
    <w:rsid w:val="00771B83"/>
    <w:rsid w:val="007830CC"/>
    <w:rsid w:val="007958FA"/>
    <w:rsid w:val="00795921"/>
    <w:rsid w:val="007A07FA"/>
    <w:rsid w:val="007A4C30"/>
    <w:rsid w:val="007A5391"/>
    <w:rsid w:val="007A6F34"/>
    <w:rsid w:val="007D4D85"/>
    <w:rsid w:val="007D4E14"/>
    <w:rsid w:val="007E360C"/>
    <w:rsid w:val="007E6B47"/>
    <w:rsid w:val="007E75E8"/>
    <w:rsid w:val="00812078"/>
    <w:rsid w:val="0081352C"/>
    <w:rsid w:val="00823F18"/>
    <w:rsid w:val="00830C8C"/>
    <w:rsid w:val="00836320"/>
    <w:rsid w:val="008421EA"/>
    <w:rsid w:val="00843CDE"/>
    <w:rsid w:val="008441E2"/>
    <w:rsid w:val="0085133F"/>
    <w:rsid w:val="00852AAD"/>
    <w:rsid w:val="00853DBC"/>
    <w:rsid w:val="00861130"/>
    <w:rsid w:val="0086232D"/>
    <w:rsid w:val="008662D2"/>
    <w:rsid w:val="0087221E"/>
    <w:rsid w:val="00872694"/>
    <w:rsid w:val="00874807"/>
    <w:rsid w:val="008755FB"/>
    <w:rsid w:val="008756F8"/>
    <w:rsid w:val="00893C68"/>
    <w:rsid w:val="008A0D72"/>
    <w:rsid w:val="008A2357"/>
    <w:rsid w:val="008A23F8"/>
    <w:rsid w:val="008A2BE9"/>
    <w:rsid w:val="008A3110"/>
    <w:rsid w:val="008B1479"/>
    <w:rsid w:val="008B4C03"/>
    <w:rsid w:val="008B5FDB"/>
    <w:rsid w:val="008B7F6E"/>
    <w:rsid w:val="008C0D16"/>
    <w:rsid w:val="008F2289"/>
    <w:rsid w:val="00912266"/>
    <w:rsid w:val="009206C6"/>
    <w:rsid w:val="0092158A"/>
    <w:rsid w:val="00925FEC"/>
    <w:rsid w:val="00940202"/>
    <w:rsid w:val="00947800"/>
    <w:rsid w:val="00953EE0"/>
    <w:rsid w:val="00954793"/>
    <w:rsid w:val="00954DBD"/>
    <w:rsid w:val="00955884"/>
    <w:rsid w:val="009564DB"/>
    <w:rsid w:val="00971B7F"/>
    <w:rsid w:val="0097764C"/>
    <w:rsid w:val="00992221"/>
    <w:rsid w:val="009A1B72"/>
    <w:rsid w:val="009B1746"/>
    <w:rsid w:val="009C0212"/>
    <w:rsid w:val="009D0040"/>
    <w:rsid w:val="009D709A"/>
    <w:rsid w:val="009D7FAF"/>
    <w:rsid w:val="009E6047"/>
    <w:rsid w:val="009F0F82"/>
    <w:rsid w:val="009F2D0F"/>
    <w:rsid w:val="00A03E2F"/>
    <w:rsid w:val="00A066BE"/>
    <w:rsid w:val="00A118E0"/>
    <w:rsid w:val="00A20F03"/>
    <w:rsid w:val="00A24A2F"/>
    <w:rsid w:val="00A31AD6"/>
    <w:rsid w:val="00A320B1"/>
    <w:rsid w:val="00A40974"/>
    <w:rsid w:val="00A508B7"/>
    <w:rsid w:val="00A54595"/>
    <w:rsid w:val="00A751D8"/>
    <w:rsid w:val="00A837EA"/>
    <w:rsid w:val="00A83EA2"/>
    <w:rsid w:val="00A94119"/>
    <w:rsid w:val="00A958B0"/>
    <w:rsid w:val="00A96822"/>
    <w:rsid w:val="00AA07D0"/>
    <w:rsid w:val="00AA2528"/>
    <w:rsid w:val="00AA51FF"/>
    <w:rsid w:val="00AB0657"/>
    <w:rsid w:val="00AB4C0D"/>
    <w:rsid w:val="00AB5EC1"/>
    <w:rsid w:val="00AB7955"/>
    <w:rsid w:val="00AC37AC"/>
    <w:rsid w:val="00AC7D19"/>
    <w:rsid w:val="00AD1C85"/>
    <w:rsid w:val="00AF2F84"/>
    <w:rsid w:val="00AF6AF5"/>
    <w:rsid w:val="00B0109A"/>
    <w:rsid w:val="00B04E97"/>
    <w:rsid w:val="00B06DA7"/>
    <w:rsid w:val="00B11F72"/>
    <w:rsid w:val="00B1434B"/>
    <w:rsid w:val="00B15F0E"/>
    <w:rsid w:val="00B31CDA"/>
    <w:rsid w:val="00B3410E"/>
    <w:rsid w:val="00B65EBE"/>
    <w:rsid w:val="00B673C4"/>
    <w:rsid w:val="00B84D8D"/>
    <w:rsid w:val="00B86765"/>
    <w:rsid w:val="00B916DC"/>
    <w:rsid w:val="00BA3973"/>
    <w:rsid w:val="00BA3CFA"/>
    <w:rsid w:val="00BA5B31"/>
    <w:rsid w:val="00BB0DE8"/>
    <w:rsid w:val="00BB2034"/>
    <w:rsid w:val="00BB2F61"/>
    <w:rsid w:val="00BB4B0B"/>
    <w:rsid w:val="00BB6988"/>
    <w:rsid w:val="00BC0F93"/>
    <w:rsid w:val="00BC47DD"/>
    <w:rsid w:val="00BD141A"/>
    <w:rsid w:val="00BE1805"/>
    <w:rsid w:val="00BE3480"/>
    <w:rsid w:val="00BE7774"/>
    <w:rsid w:val="00BF0FF8"/>
    <w:rsid w:val="00BF156E"/>
    <w:rsid w:val="00BF1983"/>
    <w:rsid w:val="00BF3E3C"/>
    <w:rsid w:val="00C02E4C"/>
    <w:rsid w:val="00C10569"/>
    <w:rsid w:val="00C16839"/>
    <w:rsid w:val="00C20658"/>
    <w:rsid w:val="00C22059"/>
    <w:rsid w:val="00C2737B"/>
    <w:rsid w:val="00C35B43"/>
    <w:rsid w:val="00C41489"/>
    <w:rsid w:val="00C510B2"/>
    <w:rsid w:val="00C51114"/>
    <w:rsid w:val="00C62C71"/>
    <w:rsid w:val="00C72FA6"/>
    <w:rsid w:val="00C81584"/>
    <w:rsid w:val="00C86158"/>
    <w:rsid w:val="00C878E2"/>
    <w:rsid w:val="00C9171B"/>
    <w:rsid w:val="00C92E66"/>
    <w:rsid w:val="00CA2B0B"/>
    <w:rsid w:val="00CA6ECC"/>
    <w:rsid w:val="00CB303A"/>
    <w:rsid w:val="00CC000B"/>
    <w:rsid w:val="00CE71FD"/>
    <w:rsid w:val="00CF5E26"/>
    <w:rsid w:val="00D00ED9"/>
    <w:rsid w:val="00D0558A"/>
    <w:rsid w:val="00D103E9"/>
    <w:rsid w:val="00D1701A"/>
    <w:rsid w:val="00D2092A"/>
    <w:rsid w:val="00D219B0"/>
    <w:rsid w:val="00D278A3"/>
    <w:rsid w:val="00D32A42"/>
    <w:rsid w:val="00D33202"/>
    <w:rsid w:val="00D3722B"/>
    <w:rsid w:val="00D410D1"/>
    <w:rsid w:val="00D41361"/>
    <w:rsid w:val="00D43608"/>
    <w:rsid w:val="00D478DE"/>
    <w:rsid w:val="00D66490"/>
    <w:rsid w:val="00D67D4B"/>
    <w:rsid w:val="00D81CCB"/>
    <w:rsid w:val="00D84A21"/>
    <w:rsid w:val="00D875E6"/>
    <w:rsid w:val="00D94669"/>
    <w:rsid w:val="00DA0CE9"/>
    <w:rsid w:val="00DB0052"/>
    <w:rsid w:val="00DB48CF"/>
    <w:rsid w:val="00DB75AA"/>
    <w:rsid w:val="00DC0B1C"/>
    <w:rsid w:val="00DC1241"/>
    <w:rsid w:val="00DC2FBC"/>
    <w:rsid w:val="00DC4F50"/>
    <w:rsid w:val="00DD3275"/>
    <w:rsid w:val="00DE100B"/>
    <w:rsid w:val="00DF6BEF"/>
    <w:rsid w:val="00E01533"/>
    <w:rsid w:val="00E017AC"/>
    <w:rsid w:val="00E018E6"/>
    <w:rsid w:val="00E0676F"/>
    <w:rsid w:val="00E14296"/>
    <w:rsid w:val="00E14724"/>
    <w:rsid w:val="00E31082"/>
    <w:rsid w:val="00E3323F"/>
    <w:rsid w:val="00E40090"/>
    <w:rsid w:val="00E43E76"/>
    <w:rsid w:val="00E4450B"/>
    <w:rsid w:val="00E5448E"/>
    <w:rsid w:val="00E5772E"/>
    <w:rsid w:val="00E62F08"/>
    <w:rsid w:val="00E66070"/>
    <w:rsid w:val="00E843E7"/>
    <w:rsid w:val="00E84CD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F10AA6"/>
    <w:rsid w:val="00F208EC"/>
    <w:rsid w:val="00F26119"/>
    <w:rsid w:val="00F3153F"/>
    <w:rsid w:val="00F34519"/>
    <w:rsid w:val="00F40554"/>
    <w:rsid w:val="00F440B1"/>
    <w:rsid w:val="00F454F9"/>
    <w:rsid w:val="00F55830"/>
    <w:rsid w:val="00F605AB"/>
    <w:rsid w:val="00F63CD7"/>
    <w:rsid w:val="00F6437C"/>
    <w:rsid w:val="00F679DE"/>
    <w:rsid w:val="00F80522"/>
    <w:rsid w:val="00F867C4"/>
    <w:rsid w:val="00F86B24"/>
    <w:rsid w:val="00FA06B9"/>
    <w:rsid w:val="00FA1295"/>
    <w:rsid w:val="00FA1DC3"/>
    <w:rsid w:val="00FA3EDC"/>
    <w:rsid w:val="00FA6F1F"/>
    <w:rsid w:val="00FA7DB0"/>
    <w:rsid w:val="00FB3EF7"/>
    <w:rsid w:val="00FB792D"/>
    <w:rsid w:val="00FC36D2"/>
    <w:rsid w:val="00FC5148"/>
    <w:rsid w:val="00FC5BD0"/>
    <w:rsid w:val="00FD5F83"/>
    <w:rsid w:val="00FE7527"/>
    <w:rsid w:val="00FE7729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E23C7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Edmonds</cp:lastModifiedBy>
  <cp:revision>3</cp:revision>
  <cp:lastPrinted>2020-06-05T10:20:00Z</cp:lastPrinted>
  <dcterms:created xsi:type="dcterms:W3CDTF">2020-06-05T11:42:00Z</dcterms:created>
  <dcterms:modified xsi:type="dcterms:W3CDTF">2020-06-05T11:43:00Z</dcterms:modified>
</cp:coreProperties>
</file>