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0F14D7">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164AE5">
                    <w:rPr>
                      <w:rFonts w:ascii="Comic Sans MS" w:hAnsi="Comic Sans MS"/>
                      <w:b/>
                      <w:i/>
                      <w:sz w:val="32"/>
                      <w:szCs w:val="32"/>
                    </w:rPr>
                    <w:t xml:space="preserve"> (48</w:t>
                  </w:r>
                  <w:r>
                    <w:rPr>
                      <w:rFonts w:ascii="Comic Sans MS" w:hAnsi="Comic Sans MS"/>
                      <w:b/>
                      <w:i/>
                      <w:sz w:val="32"/>
                      <w:szCs w:val="32"/>
                    </w:rPr>
                    <w:t>/18)</w:t>
                  </w:r>
                </w:p>
                <w:p w:rsidR="00B416E0" w:rsidRPr="00753377" w:rsidRDefault="00B416E0" w:rsidP="000F14D7">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0F14D7">
                  <w:pPr>
                    <w:spacing w:after="120" w:line="240" w:lineRule="auto"/>
                    <w:rPr>
                      <w:rFonts w:ascii="Comic Sans MS" w:hAnsi="Comic Sans MS"/>
                      <w:i/>
                      <w:sz w:val="2"/>
                      <w:szCs w:val="20"/>
                    </w:rPr>
                  </w:pPr>
                </w:p>
                <w:p w:rsidR="00B416E0" w:rsidRPr="00E36139" w:rsidRDefault="004F23C5" w:rsidP="000F14D7">
                  <w:pPr>
                    <w:spacing w:after="0" w:line="240" w:lineRule="auto"/>
                    <w:rPr>
                      <w:rFonts w:ascii="Comic Sans MS" w:hAnsi="Comic Sans MS"/>
                      <w:i/>
                      <w:sz w:val="20"/>
                      <w:szCs w:val="20"/>
                    </w:rPr>
                  </w:pPr>
                  <w:r>
                    <w:rPr>
                      <w:rFonts w:ascii="Comic Sans MS" w:hAnsi="Comic Sans MS"/>
                      <w:i/>
                      <w:sz w:val="20"/>
                      <w:szCs w:val="20"/>
                    </w:rPr>
                    <w:t xml:space="preserve">Justin Chadwick </w:t>
                  </w:r>
                  <w:r w:rsidR="00164AE5">
                    <w:rPr>
                      <w:rFonts w:ascii="Comic Sans MS" w:hAnsi="Comic Sans MS"/>
                      <w:i/>
                      <w:sz w:val="20"/>
                      <w:szCs w:val="20"/>
                    </w:rPr>
                    <w:t>30 November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0F14D7">
                  <w:pPr>
                    <w:spacing w:after="0" w:line="240" w:lineRule="auto"/>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690E6B">
              <w:tblPrEx>
                <w:tblCellMar>
                  <w:left w:w="108" w:type="dxa"/>
                  <w:right w:w="108" w:type="dxa"/>
                </w:tblCellMar>
              </w:tblPrEx>
              <w:trPr>
                <w:gridAfter w:val="2"/>
                <w:wAfter w:w="434" w:type="dxa"/>
                <w:trHeight w:val="35"/>
                <w:tblCellSpacing w:w="0" w:type="dxa"/>
              </w:trPr>
              <w:tc>
                <w:tcPr>
                  <w:tcW w:w="10348" w:type="dxa"/>
                  <w:gridSpan w:val="2"/>
                  <w:vAlign w:val="center"/>
                  <w:hideMark/>
                </w:tcPr>
                <w:p w:rsidR="00D478E9" w:rsidRDefault="00760720" w:rsidP="000F14D7">
                  <w:pPr>
                    <w:pStyle w:val="NormalWeb"/>
                    <w:widowControl w:val="0"/>
                    <w:spacing w:before="0" w:beforeAutospacing="0" w:after="0" w:afterAutospacing="0"/>
                    <w:ind w:left="-57"/>
                    <w:jc w:val="both"/>
                    <w:rPr>
                      <w:rFonts w:ascii="Arial" w:hAnsi="Arial" w:cs="Arial"/>
                      <w:b/>
                      <w:i/>
                      <w:color w:val="auto"/>
                    </w:rPr>
                  </w:pPr>
                  <w:r w:rsidRPr="006023AE">
                    <w:rPr>
                      <w:rFonts w:ascii="Arial" w:hAnsi="Arial" w:cs="Arial"/>
                      <w:b/>
                      <w:i/>
                      <w:color w:val="auto"/>
                    </w:rPr>
                    <w:t>“</w:t>
                  </w:r>
                  <w:r w:rsidR="00042C84">
                    <w:rPr>
                      <w:rFonts w:ascii="Arial" w:hAnsi="Arial" w:cs="Arial"/>
                      <w:b/>
                      <w:i/>
                      <w:color w:val="auto"/>
                    </w:rPr>
                    <w:t>When you blame others, you give up your power to change” Robert Anthony</w:t>
                  </w:r>
                </w:p>
                <w:p w:rsidR="00042C84" w:rsidRPr="00006F1F" w:rsidRDefault="00042C84" w:rsidP="000F14D7">
                  <w:pPr>
                    <w:pStyle w:val="NormalWeb"/>
                    <w:widowControl w:val="0"/>
                    <w:spacing w:before="0" w:beforeAutospacing="0" w:after="0" w:afterAutospacing="0"/>
                    <w:ind w:left="-57"/>
                    <w:jc w:val="both"/>
                    <w:rPr>
                      <w:rFonts w:ascii="Arial" w:hAnsi="Arial" w:cs="Arial"/>
                      <w:b/>
                      <w:i/>
                      <w:color w:val="auto"/>
                      <w:sz w:val="22"/>
                      <w:szCs w:val="22"/>
                    </w:rPr>
                  </w:pPr>
                </w:p>
                <w:p w:rsidR="00481425" w:rsidRPr="00866911" w:rsidRDefault="00481425" w:rsidP="000F14D7">
                  <w:pPr>
                    <w:pStyle w:val="NormalWeb"/>
                    <w:widowControl w:val="0"/>
                    <w:spacing w:before="0" w:beforeAutospacing="0" w:after="0" w:afterAutospacing="0"/>
                    <w:ind w:left="-57"/>
                    <w:jc w:val="both"/>
                    <w:rPr>
                      <w:rFonts w:ascii="Arial" w:hAnsi="Arial" w:cs="Arial"/>
                      <w:b/>
                      <w:color w:val="auto"/>
                      <w:sz w:val="6"/>
                      <w:szCs w:val="6"/>
                    </w:rPr>
                  </w:pPr>
                </w:p>
                <w:p w:rsidR="00374DFC" w:rsidRPr="00C03779" w:rsidRDefault="00164AE5" w:rsidP="000F14D7">
                  <w:pPr>
                    <w:spacing w:after="0"/>
                    <w:ind w:left="-113"/>
                    <w:jc w:val="both"/>
                    <w:rPr>
                      <w:rFonts w:ascii="Arial" w:eastAsia="Times New Roman" w:hAnsi="Arial" w:cs="Arial"/>
                      <w:b/>
                      <w:color w:val="0070C0"/>
                      <w:u w:val="single"/>
                      <w:lang w:val="en-US"/>
                    </w:rPr>
                  </w:pPr>
                  <w:r>
                    <w:rPr>
                      <w:rFonts w:ascii="Arial" w:eastAsia="Times New Roman" w:hAnsi="Arial" w:cs="Arial"/>
                      <w:b/>
                      <w:color w:val="0070C0"/>
                      <w:u w:val="single"/>
                      <w:lang w:val="en-US"/>
                    </w:rPr>
                    <w:t>HOW GOOD WERE THE VARIETY FOCUS GROUPS IN ESTIMATING THE 2018 CROP</w:t>
                  </w:r>
                  <w:r w:rsidR="00A10A99">
                    <w:rPr>
                      <w:rFonts w:ascii="Arial" w:eastAsia="Times New Roman" w:hAnsi="Arial" w:cs="Arial"/>
                      <w:b/>
                      <w:color w:val="0070C0"/>
                      <w:u w:val="single"/>
                      <w:lang w:val="en-US"/>
                    </w:rPr>
                    <w:t>?</w:t>
                  </w:r>
                </w:p>
                <w:p w:rsidR="001C164E" w:rsidRDefault="00164AE5" w:rsidP="000F14D7">
                  <w:pPr>
                    <w:spacing w:after="0"/>
                    <w:ind w:left="-113"/>
                    <w:rPr>
                      <w:rFonts w:ascii="Arial" w:hAnsi="Arial" w:cs="Arial"/>
                    </w:rPr>
                  </w:pPr>
                  <w:r>
                    <w:rPr>
                      <w:rFonts w:ascii="Arial" w:hAnsi="Arial" w:cs="Arial"/>
                    </w:rPr>
                    <w:t>Given the late season the last Citrus Marketing Forum (CMF) of 2018 did not have the opportunity to consider the actual versus estimates for 2018. They actually make interesting reading. The total citrus packed for export volume estimate was 132.7 m cartons and the actual was 135.2 m</w:t>
                  </w:r>
                  <w:r w:rsidR="00A10A99">
                    <w:rPr>
                      <w:rFonts w:ascii="Arial" w:hAnsi="Arial" w:cs="Arial"/>
                    </w:rPr>
                    <w:t>;</w:t>
                  </w:r>
                  <w:r>
                    <w:rPr>
                      <w:rFonts w:ascii="Arial" w:hAnsi="Arial" w:cs="Arial"/>
                    </w:rPr>
                    <w:t xml:space="preserve"> a mere 2% difference. Four of the five V</w:t>
                  </w:r>
                  <w:r w:rsidR="00264687">
                    <w:rPr>
                      <w:rFonts w:ascii="Arial" w:hAnsi="Arial" w:cs="Arial"/>
                    </w:rPr>
                    <w:t xml:space="preserve">ariety Focus Groups (soft citrus, lemons, navels and Valencia) where within the 5% variability goal – it was only grapefruit that bucked the trend. The Valencia focus group pulled their socks up and got the volume spot on. </w:t>
                  </w:r>
                </w:p>
                <w:tbl>
                  <w:tblPr>
                    <w:tblW w:w="10222" w:type="dxa"/>
                    <w:tblLayout w:type="fixed"/>
                    <w:tblLook w:val="04A0" w:firstRow="1" w:lastRow="0" w:firstColumn="1" w:lastColumn="0" w:noHBand="0" w:noVBand="1"/>
                  </w:tblPr>
                  <w:tblGrid>
                    <w:gridCol w:w="1013"/>
                    <w:gridCol w:w="789"/>
                    <w:gridCol w:w="912"/>
                    <w:gridCol w:w="679"/>
                    <w:gridCol w:w="661"/>
                    <w:gridCol w:w="679"/>
                    <w:gridCol w:w="661"/>
                    <w:gridCol w:w="679"/>
                    <w:gridCol w:w="679"/>
                    <w:gridCol w:w="676"/>
                    <w:gridCol w:w="661"/>
                    <w:gridCol w:w="679"/>
                    <w:gridCol w:w="724"/>
                    <w:gridCol w:w="730"/>
                  </w:tblGrid>
                  <w:tr w:rsidR="00164AE5" w:rsidRPr="00164AE5" w:rsidTr="00264687">
                    <w:trPr>
                      <w:trHeight w:hRule="exact" w:val="315"/>
                    </w:trPr>
                    <w:tc>
                      <w:tcPr>
                        <w:tcW w:w="1013"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 </w:t>
                        </w:r>
                      </w:p>
                    </w:tc>
                    <w:tc>
                      <w:tcPr>
                        <w:tcW w:w="78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2007</w:t>
                        </w:r>
                      </w:p>
                    </w:tc>
                    <w:tc>
                      <w:tcPr>
                        <w:tcW w:w="912"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 </w:t>
                        </w:r>
                      </w:p>
                    </w:tc>
                    <w:tc>
                      <w:tcPr>
                        <w:tcW w:w="67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2008</w:t>
                        </w:r>
                      </w:p>
                    </w:tc>
                    <w:tc>
                      <w:tcPr>
                        <w:tcW w:w="661"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2009</w:t>
                        </w:r>
                      </w:p>
                    </w:tc>
                    <w:tc>
                      <w:tcPr>
                        <w:tcW w:w="67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2010</w:t>
                        </w:r>
                      </w:p>
                    </w:tc>
                    <w:tc>
                      <w:tcPr>
                        <w:tcW w:w="661"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2011</w:t>
                        </w:r>
                      </w:p>
                    </w:tc>
                    <w:tc>
                      <w:tcPr>
                        <w:tcW w:w="67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2012</w:t>
                        </w:r>
                      </w:p>
                    </w:tc>
                    <w:tc>
                      <w:tcPr>
                        <w:tcW w:w="67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2013</w:t>
                        </w:r>
                      </w:p>
                    </w:tc>
                    <w:tc>
                      <w:tcPr>
                        <w:tcW w:w="676"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2014</w:t>
                        </w:r>
                      </w:p>
                    </w:tc>
                    <w:tc>
                      <w:tcPr>
                        <w:tcW w:w="661"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2015</w:t>
                        </w:r>
                      </w:p>
                    </w:tc>
                    <w:tc>
                      <w:tcPr>
                        <w:tcW w:w="67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2016</w:t>
                        </w:r>
                      </w:p>
                    </w:tc>
                    <w:tc>
                      <w:tcPr>
                        <w:tcW w:w="724" w:type="dxa"/>
                        <w:tcBorders>
                          <w:top w:val="single" w:sz="8" w:space="0" w:color="000000"/>
                          <w:left w:val="nil"/>
                          <w:bottom w:val="single" w:sz="8" w:space="0" w:color="000000"/>
                          <w:right w:val="single" w:sz="4" w:space="0" w:color="auto"/>
                        </w:tcBorders>
                        <w:shd w:val="clear" w:color="000000" w:fill="F2F2F2"/>
                        <w:vAlign w:val="center"/>
                        <w:hideMark/>
                      </w:tcPr>
                      <w:p w:rsidR="00164AE5" w:rsidRPr="00164AE5" w:rsidRDefault="00164AE5" w:rsidP="00164AE5">
                        <w:pPr>
                          <w:spacing w:after="0" w:line="240" w:lineRule="auto"/>
                          <w:ind w:left="-624"/>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2017</w:t>
                        </w:r>
                      </w:p>
                    </w:tc>
                    <w:tc>
                      <w:tcPr>
                        <w:tcW w:w="730" w:type="dxa"/>
                        <w:tcBorders>
                          <w:top w:val="single" w:sz="4" w:space="0" w:color="auto"/>
                          <w:left w:val="single" w:sz="4" w:space="0" w:color="auto"/>
                          <w:bottom w:val="single" w:sz="4" w:space="0" w:color="auto"/>
                          <w:right w:val="single" w:sz="4" w:space="0" w:color="auto"/>
                        </w:tcBorders>
                        <w:shd w:val="clear" w:color="000000" w:fill="F2F2F2"/>
                        <w:vAlign w:val="center"/>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2018</w:t>
                        </w:r>
                      </w:p>
                    </w:tc>
                  </w:tr>
                  <w:tr w:rsidR="00164AE5" w:rsidRPr="00164AE5" w:rsidTr="00264687">
                    <w:trPr>
                      <w:trHeight w:hRule="exact" w:val="315"/>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Grapefruit</w:t>
                        </w:r>
                      </w:p>
                    </w:tc>
                    <w:tc>
                      <w:tcPr>
                        <w:tcW w:w="78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-20%</w:t>
                        </w:r>
                      </w:p>
                    </w:tc>
                    <w:tc>
                      <w:tcPr>
                        <w:tcW w:w="912" w:type="dxa"/>
                        <w:tcBorders>
                          <w:top w:val="nil"/>
                          <w:left w:val="nil"/>
                          <w:bottom w:val="single" w:sz="8" w:space="0" w:color="000000"/>
                          <w:right w:val="single" w:sz="8" w:space="0" w:color="000000"/>
                        </w:tcBorders>
                        <w:shd w:val="clear" w:color="000000" w:fill="000000"/>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2%</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8%</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-9%</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-15%</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-14%</w:t>
                        </w:r>
                      </w:p>
                    </w:tc>
                    <w:tc>
                      <w:tcPr>
                        <w:tcW w:w="676"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-7%</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12%</w:t>
                        </w:r>
                      </w:p>
                    </w:tc>
                    <w:tc>
                      <w:tcPr>
                        <w:tcW w:w="724" w:type="dxa"/>
                        <w:tcBorders>
                          <w:top w:val="nil"/>
                          <w:left w:val="nil"/>
                          <w:bottom w:val="single" w:sz="8" w:space="0" w:color="000000"/>
                          <w:right w:val="single" w:sz="4" w:space="0" w:color="auto"/>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730" w:type="dxa"/>
                        <w:tcBorders>
                          <w:top w:val="single" w:sz="4" w:space="0" w:color="auto"/>
                          <w:left w:val="single" w:sz="4" w:space="0" w:color="auto"/>
                          <w:bottom w:val="single" w:sz="4" w:space="0" w:color="auto"/>
                          <w:right w:val="single" w:sz="4" w:space="0" w:color="auto"/>
                        </w:tcBorders>
                        <w:shd w:val="clear" w:color="auto" w:fill="FF000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11%</w:t>
                        </w:r>
                      </w:p>
                    </w:tc>
                  </w:tr>
                  <w:tr w:rsidR="00164AE5" w:rsidRPr="00164AE5" w:rsidTr="00264687">
                    <w:trPr>
                      <w:trHeight w:hRule="exact" w:val="477"/>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Soft Citrus</w:t>
                        </w:r>
                      </w:p>
                    </w:tc>
                    <w:tc>
                      <w:tcPr>
                        <w:tcW w:w="78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-18%</w:t>
                        </w:r>
                      </w:p>
                    </w:tc>
                    <w:tc>
                      <w:tcPr>
                        <w:tcW w:w="912" w:type="dxa"/>
                        <w:tcBorders>
                          <w:top w:val="nil"/>
                          <w:left w:val="nil"/>
                          <w:bottom w:val="single" w:sz="8" w:space="0" w:color="000000"/>
                          <w:right w:val="single" w:sz="8" w:space="0" w:color="000000"/>
                        </w:tcBorders>
                        <w:shd w:val="clear" w:color="000000" w:fill="000000"/>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9%</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Default="00164AE5" w:rsidP="00164AE5">
                        <w:pPr>
                          <w:spacing w:after="0" w:line="240" w:lineRule="auto"/>
                          <w:rPr>
                            <w:rFonts w:ascii="Arial" w:eastAsia="Times New Roman" w:hAnsi="Arial" w:cs="Arial"/>
                            <w:color w:val="000000"/>
                            <w:sz w:val="16"/>
                            <w:szCs w:val="16"/>
                            <w:lang w:eastAsia="en-GB"/>
                          </w:rPr>
                        </w:pPr>
                        <w:r w:rsidRPr="00164AE5">
                          <w:rPr>
                            <w:rFonts w:ascii="Arial" w:eastAsia="Times New Roman" w:hAnsi="Arial" w:cs="Arial"/>
                            <w:color w:val="000000"/>
                            <w:sz w:val="16"/>
                            <w:szCs w:val="16"/>
                            <w:lang w:eastAsia="en-GB"/>
                          </w:rPr>
                          <w:t xml:space="preserve">Spot </w:t>
                        </w:r>
                      </w:p>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on</w:t>
                        </w:r>
                      </w:p>
                    </w:tc>
                    <w:tc>
                      <w:tcPr>
                        <w:tcW w:w="661"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14%</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Default="00164AE5" w:rsidP="00164AE5">
                        <w:pPr>
                          <w:spacing w:after="0" w:line="240" w:lineRule="auto"/>
                          <w:rPr>
                            <w:rFonts w:ascii="Arial" w:eastAsia="Times New Roman" w:hAnsi="Arial" w:cs="Arial"/>
                            <w:color w:val="000000"/>
                            <w:sz w:val="16"/>
                            <w:szCs w:val="16"/>
                            <w:lang w:eastAsia="en-GB"/>
                          </w:rPr>
                        </w:pPr>
                        <w:r w:rsidRPr="00164AE5">
                          <w:rPr>
                            <w:rFonts w:ascii="Arial" w:eastAsia="Times New Roman" w:hAnsi="Arial" w:cs="Arial"/>
                            <w:color w:val="000000"/>
                            <w:sz w:val="16"/>
                            <w:szCs w:val="16"/>
                            <w:lang w:eastAsia="en-GB"/>
                          </w:rPr>
                          <w:t xml:space="preserve">Spot </w:t>
                        </w:r>
                      </w:p>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on</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3%</w:t>
                        </w:r>
                      </w:p>
                    </w:tc>
                    <w:tc>
                      <w:tcPr>
                        <w:tcW w:w="676"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10%</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bCs/>
                            <w:color w:val="000000"/>
                            <w:sz w:val="16"/>
                            <w:szCs w:val="16"/>
                            <w:lang w:val="en-GB" w:eastAsia="en-GB"/>
                          </w:rPr>
                        </w:pPr>
                        <w:r w:rsidRPr="00164AE5">
                          <w:rPr>
                            <w:rFonts w:ascii="Arial" w:eastAsia="Times New Roman" w:hAnsi="Arial" w:cs="Arial"/>
                            <w:bCs/>
                            <w:color w:val="000000"/>
                            <w:sz w:val="16"/>
                            <w:szCs w:val="16"/>
                            <w:lang w:eastAsia="en-GB"/>
                          </w:rPr>
                          <w:t>9%</w:t>
                        </w:r>
                      </w:p>
                    </w:tc>
                    <w:tc>
                      <w:tcPr>
                        <w:tcW w:w="724" w:type="dxa"/>
                        <w:tcBorders>
                          <w:top w:val="nil"/>
                          <w:left w:val="nil"/>
                          <w:bottom w:val="single" w:sz="8" w:space="0" w:color="000000"/>
                          <w:right w:val="single" w:sz="4" w:space="0" w:color="auto"/>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730" w:type="dxa"/>
                        <w:tcBorders>
                          <w:top w:val="single" w:sz="4" w:space="0" w:color="auto"/>
                          <w:left w:val="single" w:sz="4" w:space="0" w:color="auto"/>
                          <w:bottom w:val="single" w:sz="4" w:space="0" w:color="auto"/>
                          <w:right w:val="single" w:sz="4" w:space="0" w:color="auto"/>
                        </w:tcBorders>
                        <w:shd w:val="clear" w:color="000000" w:fill="00B05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3%</w:t>
                        </w:r>
                      </w:p>
                    </w:tc>
                  </w:tr>
                  <w:tr w:rsidR="00164AE5" w:rsidRPr="00164AE5" w:rsidTr="00264687">
                    <w:trPr>
                      <w:trHeight w:hRule="exact" w:val="315"/>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Lemons</w:t>
                        </w:r>
                      </w:p>
                    </w:tc>
                    <w:tc>
                      <w:tcPr>
                        <w:tcW w:w="78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4%</w:t>
                        </w:r>
                      </w:p>
                    </w:tc>
                    <w:tc>
                      <w:tcPr>
                        <w:tcW w:w="912" w:type="dxa"/>
                        <w:tcBorders>
                          <w:top w:val="nil"/>
                          <w:left w:val="nil"/>
                          <w:bottom w:val="single" w:sz="8" w:space="0" w:color="000000"/>
                          <w:right w:val="single" w:sz="8" w:space="0" w:color="000000"/>
                        </w:tcBorders>
                        <w:shd w:val="clear" w:color="000000" w:fill="000000"/>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-16%</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8%</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-9%</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-5%</w:t>
                        </w:r>
                      </w:p>
                    </w:tc>
                    <w:tc>
                      <w:tcPr>
                        <w:tcW w:w="676"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8%</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10%</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bCs/>
                            <w:color w:val="000000"/>
                            <w:sz w:val="16"/>
                            <w:szCs w:val="16"/>
                            <w:lang w:val="en-GB" w:eastAsia="en-GB"/>
                          </w:rPr>
                        </w:pPr>
                        <w:r w:rsidRPr="00164AE5">
                          <w:rPr>
                            <w:rFonts w:ascii="Arial" w:eastAsia="Times New Roman" w:hAnsi="Arial" w:cs="Arial"/>
                            <w:bCs/>
                            <w:color w:val="000000"/>
                            <w:sz w:val="16"/>
                            <w:szCs w:val="16"/>
                            <w:lang w:eastAsia="en-GB"/>
                          </w:rPr>
                          <w:t>-7%</w:t>
                        </w:r>
                      </w:p>
                    </w:tc>
                    <w:tc>
                      <w:tcPr>
                        <w:tcW w:w="724" w:type="dxa"/>
                        <w:tcBorders>
                          <w:top w:val="nil"/>
                          <w:left w:val="nil"/>
                          <w:bottom w:val="single" w:sz="8" w:space="0" w:color="000000"/>
                          <w:right w:val="single" w:sz="4" w:space="0" w:color="auto"/>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7%</w:t>
                        </w:r>
                      </w:p>
                    </w:tc>
                    <w:tc>
                      <w:tcPr>
                        <w:tcW w:w="730" w:type="dxa"/>
                        <w:tcBorders>
                          <w:top w:val="single" w:sz="4" w:space="0" w:color="auto"/>
                          <w:left w:val="single" w:sz="4" w:space="0" w:color="auto"/>
                          <w:bottom w:val="single" w:sz="4" w:space="0" w:color="auto"/>
                          <w:right w:val="single" w:sz="4" w:space="0" w:color="auto"/>
                        </w:tcBorders>
                        <w:shd w:val="clear" w:color="auto" w:fill="00B05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-4%</w:t>
                        </w:r>
                      </w:p>
                    </w:tc>
                  </w:tr>
                  <w:tr w:rsidR="00164AE5" w:rsidRPr="00164AE5" w:rsidTr="00264687">
                    <w:trPr>
                      <w:trHeight w:hRule="exact" w:val="315"/>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Oranges</w:t>
                        </w:r>
                      </w:p>
                    </w:tc>
                    <w:tc>
                      <w:tcPr>
                        <w:tcW w:w="78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-18%</w:t>
                        </w:r>
                      </w:p>
                    </w:tc>
                    <w:tc>
                      <w:tcPr>
                        <w:tcW w:w="912" w:type="dxa"/>
                        <w:tcBorders>
                          <w:top w:val="nil"/>
                          <w:left w:val="nil"/>
                          <w:bottom w:val="single" w:sz="8" w:space="0" w:color="000000"/>
                          <w:right w:val="single" w:sz="8" w:space="0" w:color="000000"/>
                        </w:tcBorders>
                        <w:shd w:val="clear" w:color="auto" w:fill="auto"/>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Navel</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-8%</w:t>
                        </w:r>
                      </w:p>
                    </w:tc>
                    <w:tc>
                      <w:tcPr>
                        <w:tcW w:w="661"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11%</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-8%</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7%</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2%</w:t>
                        </w:r>
                      </w:p>
                    </w:tc>
                    <w:tc>
                      <w:tcPr>
                        <w:tcW w:w="676"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-3%</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724" w:type="dxa"/>
                        <w:tcBorders>
                          <w:top w:val="nil"/>
                          <w:left w:val="nil"/>
                          <w:bottom w:val="single" w:sz="8" w:space="0" w:color="000000"/>
                          <w:right w:val="single" w:sz="4" w:space="0" w:color="auto"/>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-20%</w:t>
                        </w:r>
                      </w:p>
                    </w:tc>
                    <w:tc>
                      <w:tcPr>
                        <w:tcW w:w="730" w:type="dxa"/>
                        <w:tcBorders>
                          <w:top w:val="single" w:sz="4" w:space="0" w:color="auto"/>
                          <w:left w:val="single" w:sz="4" w:space="0" w:color="auto"/>
                          <w:bottom w:val="single" w:sz="4" w:space="0" w:color="auto"/>
                          <w:right w:val="single" w:sz="4" w:space="0" w:color="auto"/>
                        </w:tcBorders>
                        <w:shd w:val="clear" w:color="auto" w:fill="00B05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4%</w:t>
                        </w:r>
                      </w:p>
                    </w:tc>
                  </w:tr>
                  <w:tr w:rsidR="00164AE5" w:rsidRPr="00164AE5" w:rsidTr="00264687">
                    <w:trPr>
                      <w:trHeight w:hRule="exact" w:val="365"/>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 </w:t>
                        </w:r>
                      </w:p>
                    </w:tc>
                    <w:tc>
                      <w:tcPr>
                        <w:tcW w:w="789" w:type="dxa"/>
                        <w:tcBorders>
                          <w:top w:val="nil"/>
                          <w:left w:val="nil"/>
                          <w:bottom w:val="single" w:sz="8" w:space="0" w:color="000000"/>
                          <w:right w:val="single" w:sz="8" w:space="0" w:color="000000"/>
                        </w:tcBorders>
                        <w:shd w:val="clear" w:color="auto" w:fill="auto"/>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w:t>
                        </w:r>
                      </w:p>
                    </w:tc>
                    <w:tc>
                      <w:tcPr>
                        <w:tcW w:w="912" w:type="dxa"/>
                        <w:tcBorders>
                          <w:top w:val="nil"/>
                          <w:left w:val="nil"/>
                          <w:bottom w:val="single" w:sz="8" w:space="0" w:color="000000"/>
                          <w:right w:val="single" w:sz="8" w:space="0" w:color="000000"/>
                        </w:tcBorders>
                        <w:shd w:val="clear" w:color="auto" w:fill="auto"/>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Valencia</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-3%</w:t>
                        </w:r>
                      </w:p>
                    </w:tc>
                    <w:tc>
                      <w:tcPr>
                        <w:tcW w:w="661"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12%</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-11%</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-3%</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676" w:type="dxa"/>
                        <w:tcBorders>
                          <w:top w:val="nil"/>
                          <w:left w:val="nil"/>
                          <w:bottom w:val="single" w:sz="8" w:space="0" w:color="000000"/>
                          <w:right w:val="single" w:sz="8" w:space="0" w:color="000000"/>
                        </w:tcBorders>
                        <w:shd w:val="clear" w:color="000000" w:fill="00B050"/>
                        <w:vAlign w:val="center"/>
                        <w:hideMark/>
                      </w:tcPr>
                      <w:p w:rsidR="00264687" w:rsidRDefault="00164AE5" w:rsidP="00164AE5">
                        <w:pPr>
                          <w:spacing w:after="0" w:line="240" w:lineRule="auto"/>
                          <w:rPr>
                            <w:rFonts w:ascii="Arial" w:eastAsia="Times New Roman" w:hAnsi="Arial" w:cs="Arial"/>
                            <w:color w:val="000000"/>
                            <w:sz w:val="16"/>
                            <w:szCs w:val="16"/>
                            <w:lang w:eastAsia="en-GB"/>
                          </w:rPr>
                        </w:pPr>
                        <w:r w:rsidRPr="00164AE5">
                          <w:rPr>
                            <w:rFonts w:ascii="Arial" w:eastAsia="Times New Roman" w:hAnsi="Arial" w:cs="Arial"/>
                            <w:color w:val="000000"/>
                            <w:sz w:val="16"/>
                            <w:szCs w:val="16"/>
                            <w:lang w:eastAsia="en-GB"/>
                          </w:rPr>
                          <w:t xml:space="preserve">Spot </w:t>
                        </w:r>
                      </w:p>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on</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5%</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-11%</w:t>
                        </w:r>
                      </w:p>
                    </w:tc>
                    <w:tc>
                      <w:tcPr>
                        <w:tcW w:w="724" w:type="dxa"/>
                        <w:tcBorders>
                          <w:top w:val="nil"/>
                          <w:left w:val="nil"/>
                          <w:bottom w:val="single" w:sz="8" w:space="0" w:color="000000"/>
                          <w:right w:val="single" w:sz="4" w:space="0" w:color="auto"/>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7%</w:t>
                        </w:r>
                      </w:p>
                    </w:tc>
                    <w:tc>
                      <w:tcPr>
                        <w:tcW w:w="730" w:type="dxa"/>
                        <w:tcBorders>
                          <w:top w:val="single" w:sz="4" w:space="0" w:color="auto"/>
                          <w:left w:val="single" w:sz="4" w:space="0" w:color="auto"/>
                          <w:bottom w:val="single" w:sz="4" w:space="0" w:color="auto"/>
                          <w:right w:val="single" w:sz="4" w:space="0" w:color="auto"/>
                        </w:tcBorders>
                        <w:shd w:val="clear" w:color="auto" w:fill="00B05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xml:space="preserve">Spot on </w:t>
                        </w:r>
                      </w:p>
                    </w:tc>
                  </w:tr>
                  <w:tr w:rsidR="00164AE5" w:rsidRPr="00164AE5" w:rsidTr="00264687">
                    <w:trPr>
                      <w:trHeight w:hRule="exact" w:val="428"/>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TOTAL</w:t>
                        </w:r>
                      </w:p>
                    </w:tc>
                    <w:tc>
                      <w:tcPr>
                        <w:tcW w:w="78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-17%</w:t>
                        </w:r>
                      </w:p>
                    </w:tc>
                    <w:tc>
                      <w:tcPr>
                        <w:tcW w:w="912" w:type="dxa"/>
                        <w:tcBorders>
                          <w:top w:val="nil"/>
                          <w:left w:val="nil"/>
                          <w:bottom w:val="single" w:sz="8" w:space="0" w:color="000000"/>
                          <w:right w:val="single" w:sz="8" w:space="0" w:color="000000"/>
                        </w:tcBorders>
                        <w:shd w:val="clear" w:color="000000" w:fill="000000"/>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-5%</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10%</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-7%</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-5%</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5%</w:t>
                        </w:r>
                      </w:p>
                    </w:tc>
                    <w:tc>
                      <w:tcPr>
                        <w:tcW w:w="676"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4%</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bCs/>
                            <w:color w:val="000000"/>
                            <w:sz w:val="16"/>
                            <w:szCs w:val="16"/>
                            <w:lang w:val="en-GB" w:eastAsia="en-GB"/>
                          </w:rPr>
                        </w:pPr>
                        <w:r w:rsidRPr="00164AE5">
                          <w:rPr>
                            <w:rFonts w:ascii="Arial" w:eastAsia="Times New Roman" w:hAnsi="Arial" w:cs="Arial"/>
                            <w:bCs/>
                            <w:color w:val="000000"/>
                            <w:sz w:val="16"/>
                            <w:szCs w:val="16"/>
                            <w:lang w:eastAsia="en-GB"/>
                          </w:rPr>
                          <w:t>-2%</w:t>
                        </w:r>
                      </w:p>
                    </w:tc>
                    <w:tc>
                      <w:tcPr>
                        <w:tcW w:w="724" w:type="dxa"/>
                        <w:tcBorders>
                          <w:top w:val="nil"/>
                          <w:left w:val="nil"/>
                          <w:bottom w:val="single" w:sz="8" w:space="0" w:color="000000"/>
                          <w:right w:val="single" w:sz="4" w:space="0" w:color="auto"/>
                        </w:tcBorders>
                        <w:shd w:val="clear" w:color="000000" w:fill="00B050"/>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Spot On</w:t>
                        </w:r>
                      </w:p>
                    </w:tc>
                    <w:tc>
                      <w:tcPr>
                        <w:tcW w:w="730" w:type="dxa"/>
                        <w:tcBorders>
                          <w:top w:val="single" w:sz="4" w:space="0" w:color="auto"/>
                          <w:left w:val="single" w:sz="4" w:space="0" w:color="auto"/>
                          <w:bottom w:val="single" w:sz="4" w:space="0" w:color="auto"/>
                          <w:right w:val="single" w:sz="4" w:space="0" w:color="auto"/>
                        </w:tcBorders>
                        <w:shd w:val="clear" w:color="000000" w:fill="00B05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2%</w:t>
                        </w:r>
                      </w:p>
                    </w:tc>
                  </w:tr>
                </w:tbl>
                <w:p w:rsidR="00164AE5" w:rsidRPr="00272E88" w:rsidRDefault="00164AE5" w:rsidP="000F14D7">
                  <w:pPr>
                    <w:spacing w:after="0"/>
                    <w:ind w:left="-113"/>
                    <w:rPr>
                      <w:rFonts w:ascii="Arial" w:hAnsi="Arial" w:cs="Arial"/>
                    </w:rPr>
                  </w:pPr>
                </w:p>
              </w:tc>
            </w:tr>
            <w:tr w:rsidR="0098607D" w:rsidRPr="0032083B" w:rsidTr="00F80EB8">
              <w:trPr>
                <w:gridAfter w:val="1"/>
                <w:wAfter w:w="150" w:type="dxa"/>
                <w:trHeight w:val="35"/>
                <w:tblCellSpacing w:w="0" w:type="dxa"/>
              </w:trPr>
              <w:tc>
                <w:tcPr>
                  <w:tcW w:w="10632" w:type="dxa"/>
                  <w:gridSpan w:val="3"/>
                  <w:vAlign w:val="center"/>
                </w:tcPr>
                <w:p w:rsidR="00264687" w:rsidRDefault="00264687" w:rsidP="000F14D7">
                  <w:pPr>
                    <w:pStyle w:val="NormalWeb"/>
                    <w:widowControl w:val="0"/>
                    <w:spacing w:before="0" w:beforeAutospacing="0" w:after="0" w:afterAutospacing="0"/>
                    <w:rPr>
                      <w:rFonts w:ascii="Arial" w:eastAsia="Times New Roman" w:hAnsi="Arial" w:cs="Arial"/>
                      <w:color w:val="auto"/>
                      <w:sz w:val="22"/>
                      <w:szCs w:val="22"/>
                      <w:lang w:val="en-US"/>
                    </w:rPr>
                  </w:pPr>
                </w:p>
                <w:p w:rsidR="00264687" w:rsidRDefault="00264687" w:rsidP="00264687">
                  <w:pPr>
                    <w:pStyle w:val="NormalWeb"/>
                    <w:widowControl w:val="0"/>
                    <w:spacing w:before="0" w:beforeAutospacing="0" w:after="0" w:afterAutospacing="0"/>
                    <w:ind w:right="113"/>
                    <w:rPr>
                      <w:rFonts w:ascii="Arial" w:eastAsia="Times New Roman" w:hAnsi="Arial" w:cs="Arial"/>
                      <w:color w:val="auto"/>
                      <w:sz w:val="22"/>
                      <w:szCs w:val="22"/>
                      <w:lang w:val="en-US"/>
                    </w:rPr>
                  </w:pPr>
                  <w:r w:rsidRPr="00264687">
                    <w:rPr>
                      <w:rFonts w:ascii="Arial" w:eastAsia="Times New Roman" w:hAnsi="Arial" w:cs="Arial"/>
                      <w:noProof/>
                      <w:color w:val="auto"/>
                      <w:sz w:val="22"/>
                      <w:szCs w:val="22"/>
                    </w:rPr>
                    <mc:AlternateContent>
                      <mc:Choice Requires="wps">
                        <w:drawing>
                          <wp:anchor distT="45720" distB="45720" distL="114300" distR="114300" simplePos="0" relativeHeight="251661312" behindDoc="0" locked="0" layoutInCell="1" allowOverlap="1" wp14:anchorId="5B57E207" wp14:editId="55870301">
                            <wp:simplePos x="0" y="0"/>
                            <wp:positionH relativeFrom="column">
                              <wp:posOffset>3429000</wp:posOffset>
                            </wp:positionH>
                            <wp:positionV relativeFrom="paragraph">
                              <wp:posOffset>419100</wp:posOffset>
                            </wp:positionV>
                            <wp:extent cx="3096895" cy="1404620"/>
                            <wp:effectExtent l="0" t="0" r="273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404620"/>
                                    </a:xfrm>
                                    <a:prstGeom prst="rect">
                                      <a:avLst/>
                                    </a:prstGeom>
                                    <a:solidFill>
                                      <a:srgbClr val="FFFFFF"/>
                                    </a:solidFill>
                                    <a:ln w="9525">
                                      <a:solidFill>
                                        <a:srgbClr val="000000"/>
                                      </a:solidFill>
                                      <a:miter lim="800000"/>
                                      <a:headEnd/>
                                      <a:tailEnd/>
                                    </a:ln>
                                  </wps:spPr>
                                  <wps:txbx>
                                    <w:txbxContent>
                                      <w:p w:rsidR="00C866D0" w:rsidRPr="00C866D0" w:rsidRDefault="00264687" w:rsidP="00C866D0">
                                        <w:pPr>
                                          <w:spacing w:after="0"/>
                                          <w:rPr>
                                            <w:rFonts w:ascii="Arial" w:hAnsi="Arial" w:cs="Arial"/>
                                          </w:rPr>
                                        </w:pPr>
                                        <w:r w:rsidRPr="00C866D0">
                                          <w:rPr>
                                            <w:rFonts w:ascii="Arial" w:hAnsi="Arial" w:cs="Arial"/>
                                          </w:rPr>
                                          <w:t xml:space="preserve">Only regions with 10% or more of the specified citrus groups export volume are reflected in this table. Although the </w:t>
                                        </w:r>
                                        <w:r w:rsidR="00A10A99" w:rsidRPr="00C866D0">
                                          <w:rPr>
                                            <w:rFonts w:ascii="Arial" w:hAnsi="Arial" w:cs="Arial"/>
                                          </w:rPr>
                                          <w:t>Valencia</w:t>
                                        </w:r>
                                        <w:r w:rsidRPr="00C866D0">
                                          <w:rPr>
                                            <w:rFonts w:ascii="Arial" w:hAnsi="Arial" w:cs="Arial"/>
                                          </w:rPr>
                                          <w:t xml:space="preserve"> Focus Group as a whole had the estimate spot on – only one reg</w:t>
                                        </w:r>
                                        <w:r w:rsidR="00A10A99">
                                          <w:rPr>
                                            <w:rFonts w:ascii="Arial" w:hAnsi="Arial" w:cs="Arial"/>
                                          </w:rPr>
                                          <w:t>ion (Letsitele) was within the 5</w:t>
                                        </w:r>
                                        <w:r w:rsidRPr="00C866D0">
                                          <w:rPr>
                                            <w:rFonts w:ascii="Arial" w:hAnsi="Arial" w:cs="Arial"/>
                                          </w:rPr>
                                          <w:t>%</w:t>
                                        </w:r>
                                        <w:r w:rsidR="00A10A99">
                                          <w:rPr>
                                            <w:rFonts w:ascii="Arial" w:hAnsi="Arial" w:cs="Arial"/>
                                          </w:rPr>
                                          <w:t xml:space="preserve"> goal</w:t>
                                        </w:r>
                                        <w:r w:rsidRPr="00C866D0">
                                          <w:rPr>
                                            <w:rFonts w:ascii="Arial" w:hAnsi="Arial" w:cs="Arial"/>
                                          </w:rPr>
                                          <w:t>, an</w:t>
                                        </w:r>
                                        <w:r w:rsidR="00A10A99">
                                          <w:rPr>
                                            <w:rFonts w:ascii="Arial" w:hAnsi="Arial" w:cs="Arial"/>
                                          </w:rPr>
                                          <w:t xml:space="preserve">d one other (Hoedspruit) within </w:t>
                                        </w:r>
                                        <w:r w:rsidRPr="00C866D0">
                                          <w:rPr>
                                            <w:rFonts w:ascii="Arial" w:hAnsi="Arial" w:cs="Arial"/>
                                          </w:rPr>
                                          <w:t xml:space="preserve">10%. </w:t>
                                        </w:r>
                                        <w:r w:rsidR="00A10A99" w:rsidRPr="00C866D0">
                                          <w:rPr>
                                            <w:rFonts w:ascii="Arial" w:hAnsi="Arial" w:cs="Arial"/>
                                          </w:rPr>
                                          <w:t>Spectacularly</w:t>
                                        </w:r>
                                        <w:r w:rsidRPr="00C866D0">
                                          <w:rPr>
                                            <w:rFonts w:ascii="Arial" w:hAnsi="Arial" w:cs="Arial"/>
                                          </w:rPr>
                                          <w:t xml:space="preserve"> out where both Sundays River and Senwes. The same is true with navels – with only Western Cape within the 5% (which is quite a feat given the dry conditions). </w:t>
                                        </w:r>
                                      </w:p>
                                      <w:p w:rsidR="00C866D0" w:rsidRPr="00C866D0" w:rsidRDefault="00C866D0" w:rsidP="00C866D0">
                                        <w:pPr>
                                          <w:spacing w:after="0"/>
                                          <w:rPr>
                                            <w:rFonts w:ascii="Arial" w:hAnsi="Arial" w:cs="Arial"/>
                                          </w:rPr>
                                        </w:pPr>
                                        <w:r w:rsidRPr="00C866D0">
                                          <w:rPr>
                                            <w:rFonts w:ascii="Arial" w:hAnsi="Arial" w:cs="Arial"/>
                                          </w:rPr>
                                          <w:t xml:space="preserve">Grapefruit </w:t>
                                        </w:r>
                                        <w:r>
                                          <w:rPr>
                                            <w:rFonts w:ascii="Arial" w:hAnsi="Arial" w:cs="Arial"/>
                                          </w:rPr>
                                          <w:t xml:space="preserve">estimation was poor, while </w:t>
                                        </w:r>
                                        <w:r w:rsidRPr="00C866D0">
                                          <w:rPr>
                                            <w:rFonts w:ascii="Arial" w:hAnsi="Arial" w:cs="Arial"/>
                                          </w:rPr>
                                          <w:t>lemons were acceptable.</w:t>
                                        </w:r>
                                        <w:r>
                                          <w:rPr>
                                            <w:rFonts w:ascii="Arial" w:hAnsi="Arial" w:cs="Arial"/>
                                          </w:rPr>
                                          <w:t xml:space="preserve"> The Soft Citrus Variety Focus Groups did remarkably well. In </w:t>
                                        </w:r>
                                        <w:r w:rsidR="00A10A99">
                                          <w:rPr>
                                            <w:rFonts w:ascii="Arial" w:hAnsi="Arial" w:cs="Arial"/>
                                          </w:rPr>
                                          <w:t>particular,</w:t>
                                        </w:r>
                                        <w:r>
                                          <w:rPr>
                                            <w:rFonts w:ascii="Arial" w:hAnsi="Arial" w:cs="Arial"/>
                                          </w:rPr>
                                          <w:t xml:space="preserve"> the Boland est</w:t>
                                        </w:r>
                                        <w:r w:rsidR="00A10A99">
                                          <w:rPr>
                                            <w:rFonts w:ascii="Arial" w:hAnsi="Arial" w:cs="Arial"/>
                                          </w:rPr>
                                          <w:t>imate was very close, surprising</w:t>
                                        </w:r>
                                        <w:r>
                                          <w:rPr>
                                            <w:rFonts w:ascii="Arial" w:hAnsi="Arial" w:cs="Arial"/>
                                          </w:rPr>
                                          <w:t xml:space="preserve"> given the increased plantings in the region.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B57E207" id="_x0000_t202" coordsize="21600,21600" o:spt="202" path="m,l,21600r21600,l21600,xe">
                            <v:stroke joinstyle="miter"/>
                            <v:path gradientshapeok="t" o:connecttype="rect"/>
                          </v:shapetype>
                          <v:shape id="Text Box 2" o:spid="_x0000_s1026" type="#_x0000_t202" style="position:absolute;margin-left:270pt;margin-top:33pt;width:243.8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">
                            <v:textbox style="mso-fit-shape-to-text:t">
                              <w:txbxContent>
                                <w:p w:rsidR="00C866D0" w:rsidRPr="00C866D0" w:rsidRDefault="00264687" w:rsidP="00C866D0">
                                  <w:pPr>
                                    <w:spacing w:after="0"/>
                                    <w:rPr>
                                      <w:rFonts w:ascii="Arial" w:hAnsi="Arial" w:cs="Arial"/>
                                    </w:rPr>
                                  </w:pPr>
                                  <w:r w:rsidRPr="00C866D0">
                                    <w:rPr>
                                      <w:rFonts w:ascii="Arial" w:hAnsi="Arial" w:cs="Arial"/>
                                    </w:rPr>
                                    <w:t xml:space="preserve">Only regions with 10% or more of the specified citrus groups export volume are reflected in this table. Although the </w:t>
                                  </w:r>
                                  <w:r w:rsidR="00A10A99" w:rsidRPr="00C866D0">
                                    <w:rPr>
                                      <w:rFonts w:ascii="Arial" w:hAnsi="Arial" w:cs="Arial"/>
                                    </w:rPr>
                                    <w:t>Valencia</w:t>
                                  </w:r>
                                  <w:r w:rsidRPr="00C866D0">
                                    <w:rPr>
                                      <w:rFonts w:ascii="Arial" w:hAnsi="Arial" w:cs="Arial"/>
                                    </w:rPr>
                                    <w:t xml:space="preserve"> Focus Group as a whole had the estimate spot on – only one reg</w:t>
                                  </w:r>
                                  <w:r w:rsidR="00A10A99">
                                    <w:rPr>
                                      <w:rFonts w:ascii="Arial" w:hAnsi="Arial" w:cs="Arial"/>
                                    </w:rPr>
                                    <w:t>ion (Letsitele) was within the 5</w:t>
                                  </w:r>
                                  <w:r w:rsidRPr="00C866D0">
                                    <w:rPr>
                                      <w:rFonts w:ascii="Arial" w:hAnsi="Arial" w:cs="Arial"/>
                                    </w:rPr>
                                    <w:t>%</w:t>
                                  </w:r>
                                  <w:r w:rsidR="00A10A99">
                                    <w:rPr>
                                      <w:rFonts w:ascii="Arial" w:hAnsi="Arial" w:cs="Arial"/>
                                    </w:rPr>
                                    <w:t xml:space="preserve"> goal</w:t>
                                  </w:r>
                                  <w:r w:rsidRPr="00C866D0">
                                    <w:rPr>
                                      <w:rFonts w:ascii="Arial" w:hAnsi="Arial" w:cs="Arial"/>
                                    </w:rPr>
                                    <w:t>, an</w:t>
                                  </w:r>
                                  <w:r w:rsidR="00A10A99">
                                    <w:rPr>
                                      <w:rFonts w:ascii="Arial" w:hAnsi="Arial" w:cs="Arial"/>
                                    </w:rPr>
                                    <w:t xml:space="preserve">d one other (Hoedspruit) within </w:t>
                                  </w:r>
                                  <w:r w:rsidRPr="00C866D0">
                                    <w:rPr>
                                      <w:rFonts w:ascii="Arial" w:hAnsi="Arial" w:cs="Arial"/>
                                    </w:rPr>
                                    <w:t xml:space="preserve">10%. </w:t>
                                  </w:r>
                                  <w:r w:rsidR="00A10A99" w:rsidRPr="00C866D0">
                                    <w:rPr>
                                      <w:rFonts w:ascii="Arial" w:hAnsi="Arial" w:cs="Arial"/>
                                    </w:rPr>
                                    <w:t>Spectacularly</w:t>
                                  </w:r>
                                  <w:r w:rsidRPr="00C866D0">
                                    <w:rPr>
                                      <w:rFonts w:ascii="Arial" w:hAnsi="Arial" w:cs="Arial"/>
                                    </w:rPr>
                                    <w:t xml:space="preserve"> out where both Sundays River and Senwes. The same is true with navels – with only Western Cape within the 5% (which is quite a feat given the dry conditions). </w:t>
                                  </w:r>
                                </w:p>
                                <w:p w:rsidR="00C866D0" w:rsidRPr="00C866D0" w:rsidRDefault="00C866D0" w:rsidP="00C866D0">
                                  <w:pPr>
                                    <w:spacing w:after="0"/>
                                    <w:rPr>
                                      <w:rFonts w:ascii="Arial" w:hAnsi="Arial" w:cs="Arial"/>
                                    </w:rPr>
                                  </w:pPr>
                                  <w:r w:rsidRPr="00C866D0">
                                    <w:rPr>
                                      <w:rFonts w:ascii="Arial" w:hAnsi="Arial" w:cs="Arial"/>
                                    </w:rPr>
                                    <w:t xml:space="preserve">Grapefruit </w:t>
                                  </w:r>
                                  <w:r>
                                    <w:rPr>
                                      <w:rFonts w:ascii="Arial" w:hAnsi="Arial" w:cs="Arial"/>
                                    </w:rPr>
                                    <w:t xml:space="preserve">estimation was poor, while </w:t>
                                  </w:r>
                                  <w:r w:rsidRPr="00C866D0">
                                    <w:rPr>
                                      <w:rFonts w:ascii="Arial" w:hAnsi="Arial" w:cs="Arial"/>
                                    </w:rPr>
                                    <w:t>lemons were acceptable.</w:t>
                                  </w:r>
                                  <w:r>
                                    <w:rPr>
                                      <w:rFonts w:ascii="Arial" w:hAnsi="Arial" w:cs="Arial"/>
                                    </w:rPr>
                                    <w:t xml:space="preserve"> The Soft Citrus Variety Focus Groups did remarkably well. In </w:t>
                                  </w:r>
                                  <w:r w:rsidR="00A10A99">
                                    <w:rPr>
                                      <w:rFonts w:ascii="Arial" w:hAnsi="Arial" w:cs="Arial"/>
                                    </w:rPr>
                                    <w:t>particular,</w:t>
                                  </w:r>
                                  <w:r>
                                    <w:rPr>
                                      <w:rFonts w:ascii="Arial" w:hAnsi="Arial" w:cs="Arial"/>
                                    </w:rPr>
                                    <w:t xml:space="preserve"> the Boland est</w:t>
                                  </w:r>
                                  <w:r w:rsidR="00A10A99">
                                    <w:rPr>
                                      <w:rFonts w:ascii="Arial" w:hAnsi="Arial" w:cs="Arial"/>
                                    </w:rPr>
                                    <w:t>imate was very close, surprising</w:t>
                                  </w:r>
                                  <w:r>
                                    <w:rPr>
                                      <w:rFonts w:ascii="Arial" w:hAnsi="Arial" w:cs="Arial"/>
                                    </w:rPr>
                                    <w:t xml:space="preserve"> given the increased plantings in the region.</w:t>
                                  </w:r>
                                </w:p>
                              </w:txbxContent>
                            </v:textbox>
                            <w10:wrap type="square"/>
                          </v:shape>
                        </w:pict>
                      </mc:Fallback>
                    </mc:AlternateContent>
                  </w:r>
                  <w:r>
                    <w:rPr>
                      <w:rFonts w:ascii="Arial" w:eastAsia="Times New Roman" w:hAnsi="Arial" w:cs="Arial"/>
                      <w:color w:val="auto"/>
                      <w:sz w:val="22"/>
                      <w:szCs w:val="22"/>
                      <w:lang w:val="en-US"/>
                    </w:rPr>
                    <w:t>Breaking this down into regional results shows another picture – and highlights the fact that if one region has a reduction in volume, this is taken up by another region; showing the strength of the wide geographic spread of production regions.</w:t>
                  </w:r>
                </w:p>
                <w:tbl>
                  <w:tblPr>
                    <w:tblW w:w="0" w:type="auto"/>
                    <w:tblLayout w:type="fixed"/>
                    <w:tblCellMar>
                      <w:left w:w="0" w:type="dxa"/>
                      <w:right w:w="0" w:type="dxa"/>
                    </w:tblCellMar>
                    <w:tblLook w:val="0420" w:firstRow="1" w:lastRow="0" w:firstColumn="0" w:lastColumn="0" w:noHBand="0" w:noVBand="1"/>
                  </w:tblPr>
                  <w:tblGrid>
                    <w:gridCol w:w="1409"/>
                    <w:gridCol w:w="708"/>
                    <w:gridCol w:w="708"/>
                    <w:gridCol w:w="709"/>
                    <w:gridCol w:w="700"/>
                    <w:gridCol w:w="709"/>
                  </w:tblGrid>
                  <w:tr w:rsidR="00264687" w:rsidRPr="00A5277C" w:rsidTr="00324815">
                    <w:trPr>
                      <w:trHeight w:hRule="exact" w:val="284"/>
                    </w:trPr>
                    <w:tc>
                      <w:tcPr>
                        <w:tcW w:w="14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VAL</w:t>
                        </w:r>
                      </w:p>
                    </w:tc>
                    <w:tc>
                      <w:tcPr>
                        <w:tcW w:w="708"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NAV</w:t>
                        </w:r>
                      </w:p>
                    </w:tc>
                    <w:tc>
                      <w:tcPr>
                        <w:tcW w:w="7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GF</w:t>
                        </w:r>
                      </w:p>
                    </w:tc>
                    <w:tc>
                      <w:tcPr>
                        <w:tcW w:w="70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LEM</w:t>
                        </w:r>
                      </w:p>
                    </w:tc>
                    <w:tc>
                      <w:tcPr>
                        <w:tcW w:w="7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SC</w:t>
                        </w:r>
                      </w:p>
                    </w:tc>
                  </w:tr>
                  <w:tr w:rsidR="00264687" w:rsidRPr="00A5277C" w:rsidTr="00324815">
                    <w:trPr>
                      <w:trHeight w:hRule="exact" w:val="492"/>
                    </w:trPr>
                    <w:tc>
                      <w:tcPr>
                        <w:tcW w:w="140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line="240" w:lineRule="auto"/>
                          <w:jc w:val="both"/>
                          <w:rPr>
                            <w:rFonts w:ascii="Arial" w:hAnsi="Arial" w:cs="Arial"/>
                            <w:bCs/>
                            <w:sz w:val="16"/>
                            <w:szCs w:val="16"/>
                            <w:lang w:val="en-US"/>
                          </w:rPr>
                        </w:pPr>
                        <w:r w:rsidRPr="001C5927">
                          <w:rPr>
                            <w:rFonts w:ascii="Arial" w:hAnsi="Arial" w:cs="Arial"/>
                            <w:b/>
                            <w:bCs/>
                            <w:sz w:val="16"/>
                            <w:szCs w:val="16"/>
                          </w:rPr>
                          <w:t>Sundays River</w:t>
                        </w:r>
                      </w:p>
                    </w:tc>
                    <w:tc>
                      <w:tcPr>
                        <w:tcW w:w="708"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-23</w:t>
                        </w:r>
                        <w:r w:rsidRPr="001C5927">
                          <w:rPr>
                            <w:rFonts w:ascii="Arial" w:hAnsi="Arial" w:cs="Arial"/>
                            <w:b/>
                            <w:bCs/>
                            <w:sz w:val="16"/>
                            <w:szCs w:val="16"/>
                          </w:rPr>
                          <w:t>%</w:t>
                        </w:r>
                      </w:p>
                    </w:tc>
                    <w:tc>
                      <w:tcPr>
                        <w:tcW w:w="708"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-15</w:t>
                        </w:r>
                        <w:r w:rsidRPr="001C5927">
                          <w:rPr>
                            <w:rFonts w:ascii="Arial" w:hAnsi="Arial" w:cs="Arial"/>
                            <w:b/>
                            <w:bCs/>
                            <w:sz w:val="16"/>
                            <w:szCs w:val="16"/>
                          </w:rPr>
                          <w:t>%</w:t>
                        </w:r>
                      </w:p>
                    </w:tc>
                    <w:tc>
                      <w:tcPr>
                        <w:tcW w:w="70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
                            <w:bCs/>
                            <w:sz w:val="16"/>
                            <w:szCs w:val="16"/>
                          </w:rPr>
                          <w:t>3</w:t>
                        </w:r>
                        <w:r w:rsidR="00264687" w:rsidRPr="001C5927">
                          <w:rPr>
                            <w:rFonts w:ascii="Arial" w:hAnsi="Arial" w:cs="Arial"/>
                            <w:b/>
                            <w:bCs/>
                            <w:sz w:val="16"/>
                            <w:szCs w:val="16"/>
                          </w:rPr>
                          <w:t>%</w:t>
                        </w:r>
                      </w:p>
                    </w:tc>
                    <w:tc>
                      <w:tcPr>
                        <w:tcW w:w="709"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
                            <w:bCs/>
                            <w:sz w:val="16"/>
                            <w:szCs w:val="16"/>
                          </w:rPr>
                          <w:t>12</w:t>
                        </w:r>
                        <w:r w:rsidR="00264687" w:rsidRPr="001C5927">
                          <w:rPr>
                            <w:rFonts w:ascii="Arial" w:hAnsi="Arial" w:cs="Arial"/>
                            <w:b/>
                            <w:bCs/>
                            <w:sz w:val="16"/>
                            <w:szCs w:val="16"/>
                          </w:rPr>
                          <w:t>%</w:t>
                        </w: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Senwes</w:t>
                        </w:r>
                      </w:p>
                    </w:tc>
                    <w:tc>
                      <w:tcPr>
                        <w:tcW w:w="70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
                            <w:bCs/>
                            <w:sz w:val="16"/>
                            <w:szCs w:val="16"/>
                          </w:rPr>
                          <w:t>31</w:t>
                        </w:r>
                        <w:r w:rsidR="00264687">
                          <w:rPr>
                            <w:rFonts w:ascii="Arial" w:hAnsi="Arial" w:cs="Arial"/>
                            <w:b/>
                            <w:bCs/>
                            <w:sz w:val="16"/>
                            <w:szCs w:val="16"/>
                          </w:rPr>
                          <w:t>%</w:t>
                        </w:r>
                      </w:p>
                    </w:tc>
                    <w:tc>
                      <w:tcPr>
                        <w:tcW w:w="70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
                            <w:bCs/>
                            <w:sz w:val="16"/>
                            <w:szCs w:val="16"/>
                          </w:rPr>
                          <w:t>35</w:t>
                        </w:r>
                        <w:r w:rsidR="00264687" w:rsidRPr="001C5927">
                          <w:rPr>
                            <w:rFonts w:ascii="Arial" w:hAnsi="Arial" w:cs="Arial"/>
                            <w:b/>
                            <w:bCs/>
                            <w:sz w:val="16"/>
                            <w:szCs w:val="16"/>
                          </w:rPr>
                          <w:t>%</w:t>
                        </w: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264687" w:rsidRPr="00324815" w:rsidRDefault="00324815" w:rsidP="00324815">
                        <w:pPr>
                          <w:rPr>
                            <w:rFonts w:ascii="Arial" w:hAnsi="Arial" w:cs="Arial"/>
                            <w:b/>
                            <w:bCs/>
                            <w:sz w:val="16"/>
                            <w:szCs w:val="16"/>
                            <w:lang w:val="en-US"/>
                          </w:rPr>
                        </w:pPr>
                        <w:r>
                          <w:rPr>
                            <w:rFonts w:ascii="Arial" w:hAnsi="Arial" w:cs="Arial"/>
                            <w:bCs/>
                            <w:sz w:val="16"/>
                            <w:szCs w:val="16"/>
                            <w:lang w:val="en-US"/>
                          </w:rPr>
                          <w:t>-</w:t>
                        </w:r>
                        <w:r>
                          <w:rPr>
                            <w:rFonts w:ascii="Arial" w:hAnsi="Arial" w:cs="Arial"/>
                            <w:b/>
                            <w:bCs/>
                            <w:sz w:val="16"/>
                            <w:szCs w:val="16"/>
                            <w:lang w:val="en-US"/>
                          </w:rPr>
                          <w:t>8%</w:t>
                        </w: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Letsitele</w:t>
                        </w:r>
                      </w:p>
                    </w:tc>
                    <w:tc>
                      <w:tcPr>
                        <w:tcW w:w="708"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4</w:t>
                        </w:r>
                        <w:r w:rsidRPr="001C5927">
                          <w:rPr>
                            <w:rFonts w:ascii="Arial" w:hAnsi="Arial" w:cs="Arial"/>
                            <w:b/>
                            <w:bCs/>
                            <w:sz w:val="16"/>
                            <w:szCs w:val="16"/>
                          </w:rPr>
                          <w:t>%</w:t>
                        </w:r>
                      </w:p>
                    </w:tc>
                    <w:tc>
                      <w:tcPr>
                        <w:tcW w:w="708"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
                            <w:bCs/>
                            <w:sz w:val="16"/>
                            <w:szCs w:val="16"/>
                          </w:rPr>
                          <w:t>23</w:t>
                        </w:r>
                        <w:r w:rsidR="00264687" w:rsidRPr="001C5927">
                          <w:rPr>
                            <w:rFonts w:ascii="Arial" w:hAnsi="Arial" w:cs="Arial"/>
                            <w:b/>
                            <w:bCs/>
                            <w:sz w:val="16"/>
                            <w:szCs w:val="16"/>
                          </w:rPr>
                          <w:t>%</w:t>
                        </w:r>
                      </w:p>
                    </w:tc>
                    <w:tc>
                      <w:tcPr>
                        <w:tcW w:w="7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r>
                  <w:tr w:rsidR="00264687" w:rsidRPr="00A5277C" w:rsidTr="007516DF">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Hoedspruit</w:t>
                        </w:r>
                      </w:p>
                    </w:tc>
                    <w:tc>
                      <w:tcPr>
                        <w:tcW w:w="70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Cs/>
                            <w:sz w:val="16"/>
                            <w:szCs w:val="16"/>
                            <w:lang w:val="en-US"/>
                          </w:rPr>
                          <w:t>-</w:t>
                        </w:r>
                        <w:r w:rsidR="00264687">
                          <w:rPr>
                            <w:rFonts w:ascii="Arial" w:hAnsi="Arial" w:cs="Arial"/>
                            <w:bCs/>
                            <w:sz w:val="16"/>
                            <w:szCs w:val="16"/>
                            <w:lang w:val="en-US"/>
                          </w:rPr>
                          <w:t>7</w:t>
                        </w:r>
                        <w:r w:rsidR="00264687" w:rsidRPr="001C5927">
                          <w:rPr>
                            <w:rFonts w:ascii="Arial" w:hAnsi="Arial" w:cs="Arial"/>
                            <w:bCs/>
                            <w:sz w:val="16"/>
                            <w:szCs w:val="16"/>
                            <w:lang w:val="en-US"/>
                          </w:rPr>
                          <w:t>%</w:t>
                        </w: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264687" w:rsidRPr="001C5927" w:rsidRDefault="007516DF" w:rsidP="00264687">
                        <w:pPr>
                          <w:spacing w:after="0"/>
                          <w:jc w:val="both"/>
                          <w:rPr>
                            <w:rFonts w:ascii="Arial" w:hAnsi="Arial" w:cs="Arial"/>
                            <w:bCs/>
                            <w:sz w:val="16"/>
                            <w:szCs w:val="16"/>
                            <w:lang w:val="en-US"/>
                          </w:rPr>
                        </w:pPr>
                        <w:r>
                          <w:rPr>
                            <w:rFonts w:ascii="Arial" w:hAnsi="Arial" w:cs="Arial"/>
                            <w:b/>
                            <w:bCs/>
                            <w:sz w:val="16"/>
                            <w:szCs w:val="16"/>
                          </w:rPr>
                          <w:t>7</w:t>
                        </w:r>
                        <w:r w:rsidR="00264687">
                          <w:rPr>
                            <w:rFonts w:ascii="Arial" w:hAnsi="Arial" w:cs="Arial"/>
                            <w:b/>
                            <w:bCs/>
                            <w:sz w:val="16"/>
                            <w:szCs w:val="16"/>
                          </w:rPr>
                          <w:t>%</w:t>
                        </w:r>
                      </w:p>
                    </w:tc>
                    <w:tc>
                      <w:tcPr>
                        <w:tcW w:w="7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Western Cape</w:t>
                        </w:r>
                      </w:p>
                    </w:tc>
                    <w:tc>
                      <w:tcPr>
                        <w:tcW w:w="7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-1</w:t>
                        </w:r>
                        <w:r w:rsidRPr="001C5927">
                          <w:rPr>
                            <w:rFonts w:ascii="Arial" w:hAnsi="Arial" w:cs="Arial"/>
                            <w:b/>
                            <w:bCs/>
                            <w:sz w:val="16"/>
                            <w:szCs w:val="16"/>
                          </w:rPr>
                          <w:t>%</w:t>
                        </w: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-5</w:t>
                        </w:r>
                        <w:r w:rsidRPr="001C5927">
                          <w:rPr>
                            <w:rFonts w:ascii="Arial" w:hAnsi="Arial" w:cs="Arial"/>
                            <w:b/>
                            <w:bCs/>
                            <w:sz w:val="16"/>
                            <w:szCs w:val="16"/>
                          </w:rPr>
                          <w:t>%</w:t>
                        </w: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Patensie</w:t>
                        </w: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-11</w:t>
                        </w:r>
                        <w:r w:rsidRPr="001C5927">
                          <w:rPr>
                            <w:rFonts w:ascii="Arial" w:hAnsi="Arial" w:cs="Arial"/>
                            <w:b/>
                            <w:bCs/>
                            <w:sz w:val="16"/>
                            <w:szCs w:val="16"/>
                          </w:rPr>
                          <w:t>%</w:t>
                        </w: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-5</w:t>
                        </w:r>
                        <w:r w:rsidRPr="001C5927">
                          <w:rPr>
                            <w:rFonts w:ascii="Arial" w:hAnsi="Arial" w:cs="Arial"/>
                            <w:b/>
                            <w:bCs/>
                            <w:sz w:val="16"/>
                            <w:szCs w:val="16"/>
                          </w:rPr>
                          <w:t>%</w:t>
                        </w: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Limpopo River</w:t>
                        </w:r>
                      </w:p>
                    </w:tc>
                    <w:tc>
                      <w:tcPr>
                        <w:tcW w:w="70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19</w:t>
                        </w:r>
                        <w:r w:rsidRPr="001C5927">
                          <w:rPr>
                            <w:rFonts w:ascii="Arial" w:hAnsi="Arial" w:cs="Arial"/>
                            <w:b/>
                            <w:bCs/>
                            <w:sz w:val="16"/>
                            <w:szCs w:val="16"/>
                          </w:rPr>
                          <w:t>%</w:t>
                        </w:r>
                      </w:p>
                    </w:tc>
                    <w:tc>
                      <w:tcPr>
                        <w:tcW w:w="708"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r>
                  <w:tr w:rsidR="00264687" w:rsidRPr="00A5277C" w:rsidTr="007516DF">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Onderberg</w:t>
                        </w: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7516DF" w:rsidP="00264687">
                        <w:pPr>
                          <w:spacing w:after="0"/>
                          <w:jc w:val="both"/>
                          <w:rPr>
                            <w:rFonts w:ascii="Arial" w:hAnsi="Arial" w:cs="Arial"/>
                            <w:bCs/>
                            <w:sz w:val="16"/>
                            <w:szCs w:val="16"/>
                            <w:lang w:val="en-US"/>
                          </w:rPr>
                        </w:pPr>
                        <w:r>
                          <w:rPr>
                            <w:rFonts w:ascii="Arial" w:hAnsi="Arial" w:cs="Arial"/>
                            <w:b/>
                            <w:bCs/>
                            <w:sz w:val="16"/>
                            <w:szCs w:val="16"/>
                          </w:rPr>
                          <w:t xml:space="preserve"> 6</w:t>
                        </w:r>
                        <w:r w:rsidR="00264687" w:rsidRPr="001C5927">
                          <w:rPr>
                            <w:rFonts w:ascii="Arial" w:hAnsi="Arial" w:cs="Arial"/>
                            <w:b/>
                            <w:bCs/>
                            <w:sz w:val="16"/>
                            <w:szCs w:val="16"/>
                          </w:rPr>
                          <w:t>%</w:t>
                        </w:r>
                      </w:p>
                    </w:tc>
                    <w:tc>
                      <w:tcPr>
                        <w:tcW w:w="7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Boland</w:t>
                        </w:r>
                      </w:p>
                    </w:tc>
                    <w:tc>
                      <w:tcPr>
                        <w:tcW w:w="708"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1</w:t>
                        </w:r>
                        <w:r w:rsidRPr="001C5927">
                          <w:rPr>
                            <w:rFonts w:ascii="Arial" w:hAnsi="Arial" w:cs="Arial"/>
                            <w:b/>
                            <w:bCs/>
                            <w:sz w:val="16"/>
                            <w:szCs w:val="16"/>
                          </w:rPr>
                          <w:t>%</w:t>
                        </w: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Nelspruit</w:t>
                        </w: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0623F0" w:rsidP="00264687">
                        <w:pPr>
                          <w:spacing w:after="0"/>
                          <w:jc w:val="both"/>
                          <w:rPr>
                            <w:rFonts w:ascii="Arial" w:hAnsi="Arial" w:cs="Arial"/>
                            <w:bCs/>
                            <w:sz w:val="16"/>
                            <w:szCs w:val="16"/>
                            <w:lang w:val="en-US"/>
                          </w:rPr>
                        </w:pPr>
                        <w:r>
                          <w:rPr>
                            <w:rFonts w:ascii="Arial" w:hAnsi="Arial" w:cs="Arial"/>
                            <w:b/>
                            <w:bCs/>
                            <w:sz w:val="16"/>
                            <w:szCs w:val="16"/>
                          </w:rPr>
                          <w:t>-</w:t>
                        </w:r>
                        <w:r w:rsidR="00264687">
                          <w:rPr>
                            <w:rFonts w:ascii="Arial" w:hAnsi="Arial" w:cs="Arial"/>
                            <w:b/>
                            <w:bCs/>
                            <w:sz w:val="16"/>
                            <w:szCs w:val="16"/>
                          </w:rPr>
                          <w:t>6</w:t>
                        </w:r>
                        <w:r w:rsidR="00264687" w:rsidRPr="001C5927">
                          <w:rPr>
                            <w:rFonts w:ascii="Arial" w:hAnsi="Arial" w:cs="Arial"/>
                            <w:b/>
                            <w:bCs/>
                            <w:sz w:val="16"/>
                            <w:szCs w:val="16"/>
                          </w:rPr>
                          <w:t>%</w:t>
                        </w:r>
                      </w:p>
                    </w:tc>
                  </w:tr>
                </w:tbl>
                <w:p w:rsidR="00264687" w:rsidRPr="00264687" w:rsidRDefault="00264687" w:rsidP="000F14D7">
                  <w:pPr>
                    <w:pStyle w:val="NormalWeb"/>
                    <w:widowControl w:val="0"/>
                    <w:spacing w:before="0" w:beforeAutospacing="0" w:after="0" w:afterAutospacing="0"/>
                    <w:rPr>
                      <w:rFonts w:ascii="Arial" w:eastAsia="Times New Roman" w:hAnsi="Arial" w:cs="Arial"/>
                      <w:color w:val="auto"/>
                      <w:sz w:val="22"/>
                      <w:szCs w:val="22"/>
                      <w:lang w:val="en-US"/>
                    </w:rPr>
                  </w:pPr>
                </w:p>
                <w:p w:rsidR="00C866D0" w:rsidRDefault="00C866D0" w:rsidP="000F14D7">
                  <w:pPr>
                    <w:pStyle w:val="NormalWeb"/>
                    <w:widowControl w:val="0"/>
                    <w:spacing w:before="0" w:beforeAutospacing="0" w:after="0" w:afterAutospacing="0"/>
                    <w:rPr>
                      <w:rFonts w:ascii="Arial" w:eastAsia="Times New Roman" w:hAnsi="Arial" w:cs="Arial"/>
                      <w:b/>
                      <w:color w:val="0070C0"/>
                      <w:sz w:val="22"/>
                      <w:szCs w:val="22"/>
                      <w:u w:val="single"/>
                      <w:lang w:val="en-US"/>
                    </w:rPr>
                  </w:pPr>
                </w:p>
                <w:p w:rsidR="00165605" w:rsidRDefault="00042C84" w:rsidP="000F14D7">
                  <w:pPr>
                    <w:pStyle w:val="NormalWeb"/>
                    <w:widowControl w:val="0"/>
                    <w:spacing w:before="0" w:beforeAutospacing="0" w:after="0" w:afterAutospacing="0"/>
                    <w:rPr>
                      <w:rFonts w:ascii="Arial" w:eastAsia="Times New Roman" w:hAnsi="Arial" w:cs="Arial"/>
                      <w:b/>
                      <w:color w:val="0070C0"/>
                      <w:sz w:val="22"/>
                      <w:szCs w:val="22"/>
                      <w:u w:val="single"/>
                      <w:lang w:val="en-US"/>
                    </w:rPr>
                  </w:pPr>
                  <w:r>
                    <w:rPr>
                      <w:rFonts w:ascii="Arial" w:eastAsia="Times New Roman" w:hAnsi="Arial" w:cs="Arial"/>
                      <w:b/>
                      <w:color w:val="0070C0"/>
                      <w:sz w:val="22"/>
                      <w:szCs w:val="22"/>
                      <w:u w:val="single"/>
                      <w:lang w:val="en-US"/>
                    </w:rPr>
                    <w:t>FIXATION</w:t>
                  </w:r>
                </w:p>
                <w:p w:rsidR="000738CD" w:rsidRDefault="00042C84" w:rsidP="00042C84">
                  <w:pPr>
                    <w:pStyle w:val="NormalWeb"/>
                    <w:widowControl w:val="0"/>
                    <w:spacing w:before="0" w:beforeAutospacing="0" w:after="0" w:afterAutospacing="0"/>
                    <w:ind w:right="57"/>
                    <w:rPr>
                      <w:rFonts w:ascii="Arial" w:eastAsia="Times New Roman" w:hAnsi="Arial" w:cs="Arial"/>
                      <w:color w:val="auto"/>
                      <w:sz w:val="22"/>
                      <w:szCs w:val="22"/>
                      <w:lang w:val="en-US"/>
                    </w:rPr>
                  </w:pPr>
                  <w:r>
                    <w:rPr>
                      <w:rFonts w:ascii="Arial" w:eastAsia="Times New Roman" w:hAnsi="Arial" w:cs="Arial"/>
                      <w:color w:val="auto"/>
                      <w:sz w:val="22"/>
                      <w:szCs w:val="22"/>
                      <w:lang w:val="en-US"/>
                    </w:rPr>
                    <w:t xml:space="preserve">In the aviation world a few airline disasters have been blamed on what is called “pilot fixation”. It is a </w:t>
                  </w:r>
                  <w:r w:rsidR="00A10A99">
                    <w:rPr>
                      <w:rFonts w:ascii="Arial" w:eastAsia="Times New Roman" w:hAnsi="Arial" w:cs="Arial"/>
                      <w:color w:val="auto"/>
                      <w:sz w:val="22"/>
                      <w:szCs w:val="22"/>
                      <w:lang w:val="en-US"/>
                    </w:rPr>
                    <w:t>psychological</w:t>
                  </w:r>
                  <w:r>
                    <w:rPr>
                      <w:rFonts w:ascii="Arial" w:eastAsia="Times New Roman" w:hAnsi="Arial" w:cs="Arial"/>
                      <w:color w:val="auto"/>
                      <w:sz w:val="22"/>
                      <w:szCs w:val="22"/>
                      <w:lang w:val="en-US"/>
                    </w:rPr>
                    <w:t xml:space="preserve"> condition where the pilot is fixated on landing the plane – no ma</w:t>
                  </w:r>
                  <w:r w:rsidR="002E13DA">
                    <w:rPr>
                      <w:rFonts w:ascii="Arial" w:eastAsia="Times New Roman" w:hAnsi="Arial" w:cs="Arial"/>
                      <w:color w:val="auto"/>
                      <w:sz w:val="22"/>
                      <w:szCs w:val="22"/>
                      <w:lang w:val="en-US"/>
                    </w:rPr>
                    <w:t>tter that the warning signals in</w:t>
                  </w:r>
                  <w:bookmarkStart w:id="0" w:name="_GoBack"/>
                  <w:bookmarkEnd w:id="0"/>
                  <w:r>
                    <w:rPr>
                      <w:rFonts w:ascii="Arial" w:eastAsia="Times New Roman" w:hAnsi="Arial" w:cs="Arial"/>
                      <w:color w:val="auto"/>
                      <w:sz w:val="22"/>
                      <w:szCs w:val="22"/>
                      <w:lang w:val="en-US"/>
                    </w:rPr>
                    <w:t xml:space="preserve"> the cockpit are telling him to abort the landing. The emergency alarms are activated, the lights are blinking, but he carries on regardless as he is fixated on landing the plane. I wonder if some citrus growers do not suffer from “export fixation”- they have prepared the orchard for exports, the fruit from the orchard passes all the quality and phytosanitary inspections and the fruit is ready to get packed (or in some cases is already in the carton). But the warning signs are there – the markets are oversupplied and the price is coming down, agents are warning against exports; and yet the consignment is still exported. The grower is fixated on the fact that export fruit always earns better than local or processed fruit, and even when the information shows that export market prices are no better than local/processed fruit prices – the fruit is still exported.</w:t>
                  </w:r>
                </w:p>
                <w:p w:rsidR="00042C84" w:rsidRPr="00A10A99" w:rsidRDefault="00042C84" w:rsidP="00042C84">
                  <w:pPr>
                    <w:pStyle w:val="NormalWeb"/>
                    <w:widowControl w:val="0"/>
                    <w:spacing w:before="0" w:beforeAutospacing="0" w:after="0" w:afterAutospacing="0"/>
                    <w:ind w:right="57"/>
                    <w:rPr>
                      <w:rFonts w:ascii="Arial" w:eastAsia="Times New Roman" w:hAnsi="Arial" w:cs="Arial"/>
                      <w:color w:val="auto"/>
                      <w:sz w:val="8"/>
                      <w:szCs w:val="8"/>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3pt;height:120.15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2">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4"/>
  </w:num>
  <w:num w:numId="10">
    <w:abstractNumId w:val="3"/>
  </w:num>
  <w:num w:numId="11">
    <w:abstractNumId w:val="0"/>
  </w:num>
  <w:num w:numId="12">
    <w:abstractNumId w:val="15"/>
  </w:num>
  <w:num w:numId="13">
    <w:abstractNumId w:val="12"/>
  </w:num>
  <w:num w:numId="14">
    <w:abstractNumId w:val="10"/>
  </w:num>
  <w:num w:numId="15">
    <w:abstractNumId w:val="7"/>
  </w:num>
  <w:num w:numId="16">
    <w:abstractNumId w:val="9"/>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3DA"/>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0FF5-6B17-49AC-BD18-2F6263B3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10</cp:revision>
  <cp:lastPrinted>2018-11-02T11:05:00Z</cp:lastPrinted>
  <dcterms:created xsi:type="dcterms:W3CDTF">2018-11-23T12:34:00Z</dcterms:created>
  <dcterms:modified xsi:type="dcterms:W3CDTF">2018-11-30T08:23:00Z</dcterms:modified>
</cp:coreProperties>
</file>