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D8" w:rsidRPr="00490CA8" w:rsidRDefault="005859D8" w:rsidP="005859D8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40"/>
          <w:szCs w:val="40"/>
        </w:rPr>
        <w:t xml:space="preserve">FROM THE DESK OF </w:t>
      </w:r>
      <w:r w:rsidRPr="00490CA8">
        <w:rPr>
          <w:rFonts w:ascii="Comic Sans MS" w:hAnsi="Comic Sans MS"/>
          <w:b/>
          <w:i/>
          <w:sz w:val="40"/>
          <w:szCs w:val="40"/>
        </w:rPr>
        <w:t>THE CEO (</w:t>
      </w:r>
      <w:r w:rsidR="00313CB1">
        <w:rPr>
          <w:rFonts w:ascii="Comic Sans MS" w:hAnsi="Comic Sans MS"/>
          <w:b/>
          <w:i/>
          <w:sz w:val="40"/>
          <w:szCs w:val="40"/>
        </w:rPr>
        <w:t>39</w:t>
      </w:r>
      <w:r w:rsidRPr="00490CA8">
        <w:rPr>
          <w:rFonts w:ascii="Comic Sans MS" w:hAnsi="Comic Sans MS"/>
          <w:b/>
          <w:i/>
          <w:sz w:val="40"/>
          <w:szCs w:val="40"/>
        </w:rPr>
        <w:t>/19)</w:t>
      </w:r>
      <w:r w:rsidRPr="005859D8">
        <w:rPr>
          <w:noProof/>
          <w:lang w:eastAsia="en-ZA"/>
        </w:rPr>
        <w:t xml:space="preserve"> </w:t>
      </w:r>
    </w:p>
    <w:p w:rsidR="005859D8" w:rsidRPr="00EF7AA5" w:rsidRDefault="005859D8" w:rsidP="005859D8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</w:rPr>
      </w:pPr>
      <w:r w:rsidRPr="00EF7AA5">
        <w:rPr>
          <w:rFonts w:ascii="Comic Sans MS" w:hAnsi="Comic Sans MS"/>
          <w:b/>
          <w:color w:val="00B050"/>
          <w:sz w:val="21"/>
          <w:szCs w:val="21"/>
        </w:rPr>
        <w:t>(Follow me on Twitter justchad_cga)</w:t>
      </w:r>
    </w:p>
    <w:p w:rsidR="00361403" w:rsidRDefault="00361403">
      <w:pPr>
        <w:rPr>
          <w:rFonts w:ascii="Comic Sans MS" w:hAnsi="Comic Sans MS"/>
          <w:i/>
          <w:sz w:val="21"/>
          <w:szCs w:val="21"/>
        </w:rPr>
      </w:pPr>
      <w:r w:rsidRPr="00EF7AA5">
        <w:rPr>
          <w:rFonts w:ascii="Comic Sans MS" w:hAnsi="Comic Sans MS"/>
          <w:i/>
          <w:sz w:val="21"/>
          <w:szCs w:val="21"/>
        </w:rPr>
        <w:t xml:space="preserve">Justin Chadwick </w:t>
      </w:r>
      <w:r w:rsidR="00AC7D19">
        <w:rPr>
          <w:rFonts w:ascii="Comic Sans MS" w:hAnsi="Comic Sans MS"/>
          <w:i/>
          <w:sz w:val="21"/>
          <w:szCs w:val="21"/>
        </w:rPr>
        <w:t>27</w:t>
      </w:r>
      <w:r w:rsidR="008B1479">
        <w:rPr>
          <w:rFonts w:ascii="Comic Sans MS" w:hAnsi="Comic Sans MS"/>
          <w:i/>
          <w:sz w:val="21"/>
          <w:szCs w:val="21"/>
        </w:rPr>
        <w:t xml:space="preserve"> </w:t>
      </w:r>
      <w:r>
        <w:rPr>
          <w:rFonts w:ascii="Comic Sans MS" w:hAnsi="Comic Sans MS"/>
          <w:i/>
          <w:sz w:val="21"/>
          <w:szCs w:val="21"/>
        </w:rPr>
        <w:t xml:space="preserve">September </w:t>
      </w:r>
      <w:r w:rsidRPr="00EF7AA5">
        <w:rPr>
          <w:rFonts w:ascii="Comic Sans MS" w:hAnsi="Comic Sans MS"/>
          <w:i/>
          <w:sz w:val="21"/>
          <w:szCs w:val="21"/>
        </w:rPr>
        <w:t>2019</w:t>
      </w:r>
    </w:p>
    <w:tbl>
      <w:tblPr>
        <w:tblpPr w:leftFromText="180" w:rightFromText="180" w:vertAnchor="text" w:horzAnchor="margin" w:tblpY="-201"/>
        <w:tblOverlap w:val="never"/>
        <w:tblW w:w="1046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464"/>
      </w:tblGrid>
      <w:tr w:rsidR="00361403" w:rsidRPr="000D76D2" w:rsidTr="00361403">
        <w:trPr>
          <w:trHeight w:val="136"/>
          <w:tblCellSpacing w:w="0" w:type="dxa"/>
        </w:trPr>
        <w:tc>
          <w:tcPr>
            <w:tcW w:w="10464" w:type="dxa"/>
            <w:vAlign w:val="center"/>
          </w:tcPr>
          <w:p w:rsidR="005E05EF" w:rsidRPr="00DD3275" w:rsidRDefault="005F2989" w:rsidP="00B673C4">
            <w:pPr>
              <w:spacing w:after="0" w:line="240" w:lineRule="auto"/>
              <w:ind w:right="-329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DD327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“</w:t>
            </w:r>
            <w:r w:rsidR="00DD3275" w:rsidRPr="00DD3275">
              <w:rPr>
                <w:rFonts w:ascii="Arial" w:hAnsi="Arial" w:cs="Arial"/>
                <w:b/>
                <w:i/>
                <w:color w:val="181818"/>
                <w:sz w:val="24"/>
                <w:szCs w:val="24"/>
              </w:rPr>
              <w:t xml:space="preserve">The mind is not a vessel to be filled, but a fire to be kindled.”  </w:t>
            </w:r>
            <w:r w:rsidR="00DD3275" w:rsidRPr="00DD3275"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</w:rPr>
              <w:t>Plutarch</w:t>
            </w:r>
          </w:p>
        </w:tc>
      </w:tr>
    </w:tbl>
    <w:p w:rsidR="00F679DE" w:rsidRPr="008756F8" w:rsidRDefault="00AC7D19" w:rsidP="00F679DE">
      <w:pPr>
        <w:spacing w:after="0"/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  <w:t>BE CURIOUS</w:t>
      </w:r>
    </w:p>
    <w:p w:rsidR="00AC7D19" w:rsidRPr="00DD3275" w:rsidRDefault="00AC7D19" w:rsidP="00AC7D1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C1E21"/>
          <w:lang w:val="en" w:eastAsia="en-ZA"/>
        </w:rPr>
      </w:pPr>
      <w:r w:rsidRPr="00DD3275">
        <w:rPr>
          <w:rFonts w:ascii="Arial" w:eastAsia="Times New Roman" w:hAnsi="Arial" w:cs="Arial"/>
          <w:color w:val="1C1E21"/>
          <w:lang w:val="en" w:eastAsia="en-ZA"/>
        </w:rPr>
        <w:t xml:space="preserve">A leading grower in the sugar industry once remarked as follows - </w:t>
      </w:r>
      <w:r w:rsidRPr="00DD3275">
        <w:rPr>
          <w:rFonts w:ascii="Times New Roman" w:eastAsia="Times New Roman" w:hAnsi="Times New Roman"/>
          <w:color w:val="1C1E21"/>
          <w:lang w:val="en" w:eastAsia="en-ZA"/>
        </w:rPr>
        <w:t xml:space="preserve"> </w:t>
      </w:r>
      <w:r w:rsidR="000D7425" w:rsidRPr="00DD3275">
        <w:rPr>
          <w:rFonts w:ascii="Arial" w:eastAsia="Times New Roman" w:hAnsi="Arial" w:cs="Arial"/>
          <w:i/>
          <w:color w:val="1C1E21"/>
          <w:lang w:val="en" w:eastAsia="en-ZA"/>
        </w:rPr>
        <w:t>there are only two types of farmers “Good Far</w:t>
      </w:r>
      <w:r w:rsidRPr="00DD3275">
        <w:rPr>
          <w:rFonts w:ascii="Arial" w:eastAsia="Times New Roman" w:hAnsi="Arial" w:cs="Arial"/>
          <w:i/>
          <w:color w:val="1C1E21"/>
          <w:lang w:val="en" w:eastAsia="en-ZA"/>
        </w:rPr>
        <w:t>mers” and “not so good farmers”. T</w:t>
      </w:r>
      <w:r w:rsidR="000D7425" w:rsidRPr="00DD3275">
        <w:rPr>
          <w:rFonts w:ascii="Arial" w:eastAsia="Times New Roman" w:hAnsi="Arial" w:cs="Arial"/>
          <w:i/>
          <w:color w:val="1C1E21"/>
          <w:lang w:val="en" w:eastAsia="en-ZA"/>
        </w:rPr>
        <w:t xml:space="preserve">he reason for the difference has nothing to do with </w:t>
      </w:r>
      <w:r w:rsidRPr="00DD3275">
        <w:rPr>
          <w:rFonts w:ascii="Arial" w:eastAsia="Times New Roman" w:hAnsi="Arial" w:cs="Arial"/>
          <w:i/>
          <w:color w:val="1C1E21"/>
          <w:lang w:val="en" w:eastAsia="en-ZA"/>
        </w:rPr>
        <w:t>education, race, culture or language</w:t>
      </w:r>
      <w:r w:rsidR="000D7425" w:rsidRPr="00DD3275">
        <w:rPr>
          <w:rFonts w:ascii="Arial" w:eastAsia="Times New Roman" w:hAnsi="Arial" w:cs="Arial"/>
          <w:i/>
          <w:color w:val="1C1E21"/>
          <w:lang w:val="en" w:eastAsia="en-ZA"/>
        </w:rPr>
        <w:t xml:space="preserve">, but only has to do with the fact that “Good Farmers” take advice but </w:t>
      </w:r>
      <w:r w:rsidRPr="00DD3275">
        <w:rPr>
          <w:rFonts w:ascii="Arial" w:eastAsia="Times New Roman" w:hAnsi="Arial" w:cs="Arial"/>
          <w:i/>
          <w:color w:val="1C1E21"/>
          <w:lang w:val="en" w:eastAsia="en-ZA"/>
        </w:rPr>
        <w:t xml:space="preserve">“not so good </w:t>
      </w:r>
      <w:r w:rsidR="000D7425" w:rsidRPr="00DD3275">
        <w:rPr>
          <w:rFonts w:ascii="Arial" w:eastAsia="Times New Roman" w:hAnsi="Arial" w:cs="Arial"/>
          <w:i/>
          <w:color w:val="1C1E21"/>
          <w:lang w:val="en" w:eastAsia="en-ZA"/>
        </w:rPr>
        <w:t>farmers</w:t>
      </w:r>
      <w:r w:rsidRPr="00DD3275">
        <w:rPr>
          <w:rFonts w:ascii="Arial" w:eastAsia="Times New Roman" w:hAnsi="Arial" w:cs="Arial"/>
          <w:i/>
          <w:color w:val="1C1E21"/>
          <w:lang w:val="en" w:eastAsia="en-ZA"/>
        </w:rPr>
        <w:t>”</w:t>
      </w:r>
      <w:r w:rsidR="000D7425" w:rsidRPr="00DD3275">
        <w:rPr>
          <w:rFonts w:ascii="Arial" w:eastAsia="Times New Roman" w:hAnsi="Arial" w:cs="Arial"/>
          <w:i/>
          <w:color w:val="1C1E21"/>
          <w:lang w:val="en" w:eastAsia="en-ZA"/>
        </w:rPr>
        <w:t xml:space="preserve"> don’t take advice.</w:t>
      </w:r>
      <w:r w:rsidR="000D7425" w:rsidRPr="00DD3275">
        <w:rPr>
          <w:rFonts w:ascii="Times New Roman" w:eastAsia="Times New Roman" w:hAnsi="Times New Roman"/>
          <w:i/>
          <w:color w:val="1C1E21"/>
          <w:lang w:val="en" w:eastAsia="en-ZA"/>
        </w:rPr>
        <w:t xml:space="preserve"> </w:t>
      </w:r>
    </w:p>
    <w:p w:rsidR="00CF5E26" w:rsidRPr="00DD3275" w:rsidRDefault="00AC7D19" w:rsidP="00AC7D1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D3275">
        <w:rPr>
          <w:rFonts w:ascii="Arial" w:eastAsia="Times New Roman" w:hAnsi="Arial" w:cs="Arial"/>
          <w:color w:val="1C1E21"/>
          <w:lang w:val="en" w:eastAsia="en-ZA"/>
        </w:rPr>
        <w:t xml:space="preserve">I have heard many leading citrus growers comment on how much they have learnt from others during their farming journey. This is </w:t>
      </w:r>
      <w:r w:rsidR="00732CB3" w:rsidRPr="00DD3275">
        <w:rPr>
          <w:rFonts w:ascii="Arial" w:eastAsia="Times New Roman" w:hAnsi="Arial" w:cs="Arial"/>
          <w:color w:val="1C1E21"/>
          <w:lang w:val="en" w:eastAsia="en-ZA"/>
        </w:rPr>
        <w:t>sage</w:t>
      </w:r>
      <w:r w:rsidRPr="00DD3275">
        <w:rPr>
          <w:rFonts w:ascii="Arial" w:eastAsia="Times New Roman" w:hAnsi="Arial" w:cs="Arial"/>
          <w:color w:val="1C1E21"/>
          <w:lang w:val="en" w:eastAsia="en-ZA"/>
        </w:rPr>
        <w:t xml:space="preserve"> advice – always be curious; don’t just accept things but ask “why”. Why is it that your </w:t>
      </w:r>
      <w:proofErr w:type="spellStart"/>
      <w:r w:rsidR="00732CB3" w:rsidRPr="00DD3275">
        <w:rPr>
          <w:rFonts w:ascii="Arial" w:eastAsia="Times New Roman" w:hAnsi="Arial" w:cs="Arial"/>
          <w:color w:val="1C1E21"/>
          <w:lang w:val="en" w:eastAsia="en-ZA"/>
        </w:rPr>
        <w:t>neighbo</w:t>
      </w:r>
      <w:r w:rsidR="005663ED">
        <w:rPr>
          <w:rFonts w:ascii="Arial" w:eastAsia="Times New Roman" w:hAnsi="Arial" w:cs="Arial"/>
          <w:color w:val="1C1E21"/>
          <w:lang w:val="en" w:eastAsia="en-ZA"/>
        </w:rPr>
        <w:t>u</w:t>
      </w:r>
      <w:r w:rsidR="00732CB3" w:rsidRPr="00DD3275">
        <w:rPr>
          <w:rFonts w:ascii="Arial" w:eastAsia="Times New Roman" w:hAnsi="Arial" w:cs="Arial"/>
          <w:color w:val="1C1E21"/>
          <w:lang w:val="en" w:eastAsia="en-ZA"/>
        </w:rPr>
        <w:t>rs’</w:t>
      </w:r>
      <w:proofErr w:type="spellEnd"/>
      <w:r w:rsidRPr="00DD3275">
        <w:rPr>
          <w:rFonts w:ascii="Arial" w:eastAsia="Times New Roman" w:hAnsi="Arial" w:cs="Arial"/>
          <w:color w:val="1C1E21"/>
          <w:lang w:val="en" w:eastAsia="en-ZA"/>
        </w:rPr>
        <w:t xml:space="preserve"> trees are looking better (or worse) than yours; keep observing what is happening around you and find out why things happen. The southern African citrus growers have at their disposal some of the worlds</w:t>
      </w:r>
      <w:r w:rsidR="00DD3275">
        <w:rPr>
          <w:rFonts w:ascii="Arial" w:eastAsia="Times New Roman" w:hAnsi="Arial" w:cs="Arial"/>
          <w:color w:val="1C1E21"/>
          <w:lang w:val="en" w:eastAsia="en-ZA"/>
        </w:rPr>
        <w:t>’</w:t>
      </w:r>
      <w:r w:rsidRPr="00DD3275">
        <w:rPr>
          <w:rFonts w:ascii="Arial" w:eastAsia="Times New Roman" w:hAnsi="Arial" w:cs="Arial"/>
          <w:color w:val="1C1E21"/>
          <w:lang w:val="en" w:eastAsia="en-ZA"/>
        </w:rPr>
        <w:t xml:space="preserve"> leading citrus researchers – learn from them. The Citrus Academy has a warehouse full of learning material – manuals and DVD’s – get hold of them AND KEEP LEARNING. Adopt the mantra of continued improvement – no matter how long you have been in the industry, or how much you believe you know everything; there is always something new to learn.</w:t>
      </w:r>
    </w:p>
    <w:p w:rsidR="007E6B47" w:rsidRDefault="009D0040" w:rsidP="007E6B47">
      <w:pPr>
        <w:spacing w:after="0"/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  <w:t>CITRUS STATISTICS</w:t>
      </w:r>
    </w:p>
    <w:p w:rsidR="00612231" w:rsidRPr="00DD3275" w:rsidRDefault="00612231" w:rsidP="007E6B47">
      <w:pPr>
        <w:spacing w:after="0"/>
        <w:rPr>
          <w:rFonts w:ascii="Arial" w:eastAsia="Times New Roman" w:hAnsi="Arial" w:cs="Arial"/>
          <w:lang w:val="en-US"/>
        </w:rPr>
      </w:pPr>
      <w:r w:rsidRPr="00DD3275">
        <w:rPr>
          <w:rFonts w:ascii="Arial" w:eastAsia="Times New Roman" w:hAnsi="Arial" w:cs="Arial"/>
          <w:lang w:val="en-US"/>
        </w:rPr>
        <w:t>I LOVE STATISTICS – and John Edmonds (CGA Information Manager) has found a website that gives excellent graphics and information on trade f</w:t>
      </w:r>
      <w:r w:rsidR="005663ED">
        <w:rPr>
          <w:rFonts w:ascii="Arial" w:eastAsia="Times New Roman" w:hAnsi="Arial" w:cs="Arial"/>
          <w:lang w:val="en-US"/>
        </w:rPr>
        <w:t xml:space="preserve">lows. For this week’s </w:t>
      </w:r>
      <w:bookmarkStart w:id="0" w:name="_GoBack"/>
      <w:bookmarkEnd w:id="0"/>
      <w:r w:rsidR="005663ED">
        <w:rPr>
          <w:rFonts w:ascii="Arial" w:eastAsia="Times New Roman" w:hAnsi="Arial" w:cs="Arial"/>
          <w:lang w:val="en-US"/>
        </w:rPr>
        <w:t>newsletter</w:t>
      </w:r>
      <w:r w:rsidRPr="00DD3275">
        <w:rPr>
          <w:rFonts w:ascii="Arial" w:eastAsia="Times New Roman" w:hAnsi="Arial" w:cs="Arial"/>
          <w:lang w:val="en-US"/>
        </w:rPr>
        <w:t xml:space="preserve"> I extracted some of the statistics on the orange trade – comparing 2017 (latest data) with 2012. This shows the fastest growing and the fastest declining global trade flows: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8"/>
        <w:gridCol w:w="922"/>
        <w:gridCol w:w="4408"/>
        <w:gridCol w:w="918"/>
      </w:tblGrid>
      <w:tr w:rsidR="00612231" w:rsidRPr="00DD3275" w:rsidTr="00612231">
        <w:tc>
          <w:tcPr>
            <w:tcW w:w="2012" w:type="pct"/>
            <w:shd w:val="clear" w:color="auto" w:fill="D9D9D9" w:themeFill="background1" w:themeFillShade="D9"/>
          </w:tcPr>
          <w:p w:rsidR="00612231" w:rsidRPr="00DD3275" w:rsidRDefault="00612231" w:rsidP="00612231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 w:rsidRPr="00DD3275">
              <w:rPr>
                <w:rFonts w:ascii="Arial" w:eastAsia="Times New Roman" w:hAnsi="Arial" w:cs="Arial"/>
                <w:b/>
                <w:lang w:val="en-US"/>
              </w:rPr>
              <w:t>Fastest Growing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612231" w:rsidRPr="00DD3275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DD3275">
              <w:rPr>
                <w:rFonts w:ascii="Arial" w:eastAsia="Times New Roman" w:hAnsi="Arial" w:cs="Arial"/>
                <w:b/>
                <w:lang w:val="en-US"/>
              </w:rPr>
              <w:t>%</w:t>
            </w:r>
          </w:p>
        </w:tc>
        <w:tc>
          <w:tcPr>
            <w:tcW w:w="2108" w:type="pct"/>
            <w:shd w:val="clear" w:color="auto" w:fill="D9D9D9" w:themeFill="background1" w:themeFillShade="D9"/>
          </w:tcPr>
          <w:p w:rsidR="00612231" w:rsidRPr="00DD3275" w:rsidRDefault="00612231" w:rsidP="00612231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 w:rsidRPr="00DD3275">
              <w:rPr>
                <w:rFonts w:ascii="Arial" w:eastAsia="Times New Roman" w:hAnsi="Arial" w:cs="Arial"/>
                <w:b/>
                <w:lang w:val="en-US"/>
              </w:rPr>
              <w:t>Fastest Declining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:rsidR="00612231" w:rsidRPr="00DD3275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DD3275">
              <w:rPr>
                <w:rFonts w:ascii="Arial" w:eastAsia="Times New Roman" w:hAnsi="Arial" w:cs="Arial"/>
                <w:b/>
                <w:lang w:val="en-US"/>
              </w:rPr>
              <w:t>%</w:t>
            </w:r>
          </w:p>
        </w:tc>
      </w:tr>
      <w:tr w:rsidR="00612231" w:rsidRPr="00DD3275" w:rsidTr="00612231">
        <w:tc>
          <w:tcPr>
            <w:tcW w:w="2012" w:type="pct"/>
          </w:tcPr>
          <w:p w:rsidR="00612231" w:rsidRPr="00DD3275" w:rsidRDefault="00612231" w:rsidP="007E6B47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Egypt to China</w:t>
            </w:r>
          </w:p>
        </w:tc>
        <w:tc>
          <w:tcPr>
            <w:tcW w:w="441" w:type="pct"/>
          </w:tcPr>
          <w:p w:rsidR="00612231" w:rsidRPr="00DD3275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+194%</w:t>
            </w:r>
          </w:p>
        </w:tc>
        <w:tc>
          <w:tcPr>
            <w:tcW w:w="2108" w:type="pct"/>
          </w:tcPr>
          <w:p w:rsidR="00612231" w:rsidRPr="00DD3275" w:rsidRDefault="00612231" w:rsidP="007E6B47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Morocco to Russian Federation</w:t>
            </w:r>
          </w:p>
        </w:tc>
        <w:tc>
          <w:tcPr>
            <w:tcW w:w="439" w:type="pct"/>
          </w:tcPr>
          <w:p w:rsidR="00612231" w:rsidRPr="00DD3275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-25%</w:t>
            </w:r>
          </w:p>
        </w:tc>
      </w:tr>
      <w:tr w:rsidR="00612231" w:rsidRPr="00DD3275" w:rsidTr="00612231">
        <w:tc>
          <w:tcPr>
            <w:tcW w:w="2012" w:type="pct"/>
          </w:tcPr>
          <w:p w:rsidR="00612231" w:rsidRPr="00DD3275" w:rsidRDefault="00612231" w:rsidP="007E6B47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Australia to China</w:t>
            </w:r>
          </w:p>
        </w:tc>
        <w:tc>
          <w:tcPr>
            <w:tcW w:w="441" w:type="pct"/>
          </w:tcPr>
          <w:p w:rsidR="00612231" w:rsidRPr="00DD3275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+76%</w:t>
            </w:r>
          </w:p>
        </w:tc>
        <w:tc>
          <w:tcPr>
            <w:tcW w:w="2108" w:type="pct"/>
          </w:tcPr>
          <w:p w:rsidR="00612231" w:rsidRPr="00DD3275" w:rsidRDefault="00612231" w:rsidP="007E6B47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Egypt to Ukraine</w:t>
            </w:r>
          </w:p>
        </w:tc>
        <w:tc>
          <w:tcPr>
            <w:tcW w:w="439" w:type="pct"/>
          </w:tcPr>
          <w:p w:rsidR="00612231" w:rsidRPr="00DD3275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-21%</w:t>
            </w:r>
          </w:p>
        </w:tc>
      </w:tr>
      <w:tr w:rsidR="00612231" w:rsidRPr="00DD3275" w:rsidTr="00612231">
        <w:tc>
          <w:tcPr>
            <w:tcW w:w="2012" w:type="pct"/>
          </w:tcPr>
          <w:p w:rsidR="00612231" w:rsidRPr="00DD3275" w:rsidRDefault="00612231" w:rsidP="007E6B47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China to Vietnam</w:t>
            </w:r>
          </w:p>
        </w:tc>
        <w:tc>
          <w:tcPr>
            <w:tcW w:w="441" w:type="pct"/>
          </w:tcPr>
          <w:p w:rsidR="00612231" w:rsidRPr="00DD3275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+61%</w:t>
            </w:r>
          </w:p>
        </w:tc>
        <w:tc>
          <w:tcPr>
            <w:tcW w:w="2108" w:type="pct"/>
          </w:tcPr>
          <w:p w:rsidR="00612231" w:rsidRPr="00DD3275" w:rsidRDefault="00612231" w:rsidP="007E6B47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Turkey to Iraq</w:t>
            </w:r>
          </w:p>
        </w:tc>
        <w:tc>
          <w:tcPr>
            <w:tcW w:w="439" w:type="pct"/>
          </w:tcPr>
          <w:p w:rsidR="00612231" w:rsidRPr="00DD3275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-16%</w:t>
            </w:r>
          </w:p>
        </w:tc>
      </w:tr>
      <w:tr w:rsidR="00612231" w:rsidRPr="00DD3275" w:rsidTr="00612231">
        <w:tc>
          <w:tcPr>
            <w:tcW w:w="2012" w:type="pct"/>
          </w:tcPr>
          <w:p w:rsidR="00612231" w:rsidRPr="00DD3275" w:rsidRDefault="00612231" w:rsidP="007E6B47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Mexico to USA</w:t>
            </w:r>
          </w:p>
        </w:tc>
        <w:tc>
          <w:tcPr>
            <w:tcW w:w="441" w:type="pct"/>
          </w:tcPr>
          <w:p w:rsidR="00612231" w:rsidRPr="00DD3275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+46%</w:t>
            </w:r>
          </w:p>
        </w:tc>
        <w:tc>
          <w:tcPr>
            <w:tcW w:w="2108" w:type="pct"/>
          </w:tcPr>
          <w:p w:rsidR="00612231" w:rsidRPr="00DD3275" w:rsidRDefault="00612231" w:rsidP="007E6B47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South Africa to Spain</w:t>
            </w:r>
          </w:p>
        </w:tc>
        <w:tc>
          <w:tcPr>
            <w:tcW w:w="439" w:type="pct"/>
          </w:tcPr>
          <w:p w:rsidR="00612231" w:rsidRPr="00DD3275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-11%</w:t>
            </w:r>
          </w:p>
        </w:tc>
      </w:tr>
      <w:tr w:rsidR="00612231" w:rsidRPr="00DD3275" w:rsidTr="00612231">
        <w:tc>
          <w:tcPr>
            <w:tcW w:w="2012" w:type="pct"/>
          </w:tcPr>
          <w:p w:rsidR="00612231" w:rsidRPr="00DD3275" w:rsidRDefault="00612231" w:rsidP="007E6B47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South Africa to China</w:t>
            </w:r>
          </w:p>
        </w:tc>
        <w:tc>
          <w:tcPr>
            <w:tcW w:w="441" w:type="pct"/>
          </w:tcPr>
          <w:p w:rsidR="00612231" w:rsidRPr="00DD3275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+37%</w:t>
            </w:r>
          </w:p>
        </w:tc>
        <w:tc>
          <w:tcPr>
            <w:tcW w:w="2108" w:type="pct"/>
          </w:tcPr>
          <w:p w:rsidR="00612231" w:rsidRPr="00DD3275" w:rsidRDefault="00612231" w:rsidP="007E6B47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Egypt to Russian Federation</w:t>
            </w:r>
          </w:p>
        </w:tc>
        <w:tc>
          <w:tcPr>
            <w:tcW w:w="439" w:type="pct"/>
          </w:tcPr>
          <w:p w:rsidR="00612231" w:rsidRPr="00DD3275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lang w:val="en-US"/>
              </w:rPr>
            </w:pPr>
            <w:r w:rsidRPr="00DD3275">
              <w:rPr>
                <w:rFonts w:ascii="Arial" w:eastAsia="Times New Roman" w:hAnsi="Arial" w:cs="Arial"/>
                <w:lang w:val="en-US"/>
              </w:rPr>
              <w:t>-10%</w:t>
            </w:r>
          </w:p>
        </w:tc>
      </w:tr>
    </w:tbl>
    <w:p w:rsidR="00612231" w:rsidRPr="00DD3275" w:rsidRDefault="00612231" w:rsidP="007E6B47">
      <w:pPr>
        <w:spacing w:after="0"/>
        <w:rPr>
          <w:rFonts w:ascii="Arial" w:eastAsia="Times New Roman" w:hAnsi="Arial" w:cs="Arial"/>
          <w:lang w:val="en-US"/>
        </w:rPr>
      </w:pPr>
      <w:r w:rsidRPr="00DD3275">
        <w:rPr>
          <w:rFonts w:ascii="Arial" w:eastAsia="Times New Roman" w:hAnsi="Arial" w:cs="Arial"/>
          <w:lang w:val="en-US"/>
        </w:rPr>
        <w:t xml:space="preserve">China has clearly developed an </w:t>
      </w:r>
      <w:r w:rsidR="00DD3275" w:rsidRPr="00DD3275">
        <w:rPr>
          <w:rFonts w:ascii="Arial" w:eastAsia="Times New Roman" w:hAnsi="Arial" w:cs="Arial"/>
          <w:lang w:val="en-US"/>
        </w:rPr>
        <w:t>a</w:t>
      </w:r>
      <w:r w:rsidRPr="00DD3275">
        <w:rPr>
          <w:rFonts w:ascii="Arial" w:eastAsia="Times New Roman" w:hAnsi="Arial" w:cs="Arial"/>
          <w:lang w:val="en-US"/>
        </w:rPr>
        <w:t xml:space="preserve">ppetite for imported </w:t>
      </w:r>
      <w:r w:rsidR="00DD3275" w:rsidRPr="00DD3275">
        <w:rPr>
          <w:rFonts w:ascii="Arial" w:eastAsia="Times New Roman" w:hAnsi="Arial" w:cs="Arial"/>
          <w:lang w:val="en-US"/>
        </w:rPr>
        <w:t xml:space="preserve">citrus – driven </w:t>
      </w:r>
      <w:r w:rsidR="00DD3275">
        <w:rPr>
          <w:rFonts w:ascii="Arial" w:eastAsia="Times New Roman" w:hAnsi="Arial" w:cs="Arial"/>
          <w:lang w:val="en-US"/>
        </w:rPr>
        <w:t>by</w:t>
      </w:r>
      <w:r w:rsidR="00DD3275" w:rsidRPr="00DD3275">
        <w:rPr>
          <w:rFonts w:ascii="Arial" w:eastAsia="Times New Roman" w:hAnsi="Arial" w:cs="Arial"/>
          <w:lang w:val="en-US"/>
        </w:rPr>
        <w:t xml:space="preserve"> economic growth, urbanization, increased disposable income and increased market access. The declining trends show the impact of sanctions, phytosanitary regulations, political tensions and declining economies. </w:t>
      </w:r>
    </w:p>
    <w:p w:rsidR="00B673C4" w:rsidRPr="008756F8" w:rsidRDefault="00757321" w:rsidP="00757321">
      <w:pPr>
        <w:spacing w:after="0"/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</w:pPr>
      <w:r w:rsidRPr="008756F8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  <w:t>ANNUAL CITRUS COORDINATING MEETING</w:t>
      </w:r>
    </w:p>
    <w:p w:rsidR="005E05EF" w:rsidRPr="00DD3275" w:rsidRDefault="00757321" w:rsidP="0050561C">
      <w:pPr>
        <w:spacing w:after="0"/>
        <w:rPr>
          <w:rFonts w:ascii="Arial" w:hAnsi="Arial" w:cs="Arial"/>
        </w:rPr>
      </w:pPr>
      <w:r w:rsidRPr="00DD3275">
        <w:rPr>
          <w:rFonts w:ascii="Arial" w:hAnsi="Arial" w:cs="Arial"/>
        </w:rPr>
        <w:t>This years’ meeting will take place in</w:t>
      </w:r>
      <w:r w:rsidRPr="00DD3275">
        <w:rPr>
          <w:rFonts w:ascii="Arial" w:hAnsi="Arial" w:cs="Arial"/>
          <w:b/>
          <w:color w:val="FF0000"/>
        </w:rPr>
        <w:t xml:space="preserve"> </w:t>
      </w:r>
      <w:r w:rsidR="00BF1983" w:rsidRPr="00DD3275">
        <w:rPr>
          <w:rFonts w:ascii="Arial" w:hAnsi="Arial" w:cs="Arial"/>
          <w:b/>
          <w:color w:val="FF0000"/>
        </w:rPr>
        <w:t>Nelspruit on Wednesday 6</w:t>
      </w:r>
      <w:r w:rsidR="00CF5E26" w:rsidRPr="00DD3275">
        <w:rPr>
          <w:rFonts w:ascii="Arial" w:hAnsi="Arial" w:cs="Arial"/>
          <w:b/>
          <w:color w:val="FF0000"/>
        </w:rPr>
        <w:t xml:space="preserve"> November</w:t>
      </w:r>
      <w:r w:rsidRPr="00DD3275">
        <w:rPr>
          <w:rFonts w:ascii="Arial" w:hAnsi="Arial" w:cs="Arial"/>
          <w:b/>
          <w:color w:val="FF0000"/>
        </w:rPr>
        <w:t xml:space="preserve"> 2019 from 09h00 to 13h00.</w:t>
      </w:r>
      <w:r w:rsidRPr="00DD3275">
        <w:rPr>
          <w:rFonts w:ascii="Arial" w:hAnsi="Arial" w:cs="Arial"/>
        </w:rPr>
        <w:t xml:space="preserve"> </w:t>
      </w:r>
    </w:p>
    <w:p w:rsidR="005E05EF" w:rsidRDefault="005E05EF" w:rsidP="005E05EF">
      <w:pPr>
        <w:spacing w:after="0"/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  <w:t>CITRUS MARKETING FORUM (CMF)</w:t>
      </w:r>
    </w:p>
    <w:p w:rsidR="005E05EF" w:rsidRPr="00DD3275" w:rsidRDefault="00AC7D19" w:rsidP="005E05EF">
      <w:pPr>
        <w:spacing w:after="0"/>
        <w:rPr>
          <w:rFonts w:ascii="Arial" w:eastAsia="Times New Roman" w:hAnsi="Arial" w:cs="Arial"/>
          <w:lang w:val="en-US"/>
        </w:rPr>
      </w:pPr>
      <w:r w:rsidRPr="00DD3275">
        <w:rPr>
          <w:rFonts w:ascii="Arial" w:eastAsia="Times New Roman" w:hAnsi="Arial" w:cs="Arial"/>
          <w:lang w:val="en-US"/>
        </w:rPr>
        <w:t>T</w:t>
      </w:r>
      <w:r w:rsidR="005E05EF" w:rsidRPr="00DD3275">
        <w:rPr>
          <w:rFonts w:ascii="Arial" w:eastAsia="Times New Roman" w:hAnsi="Arial" w:cs="Arial"/>
          <w:lang w:val="en-US"/>
        </w:rPr>
        <w:t>he final C</w:t>
      </w:r>
      <w:r w:rsidR="00DD3275">
        <w:rPr>
          <w:rFonts w:ascii="Arial" w:eastAsia="Times New Roman" w:hAnsi="Arial" w:cs="Arial"/>
          <w:lang w:val="en-US"/>
        </w:rPr>
        <w:t xml:space="preserve">MF for 2019 will be held </w:t>
      </w:r>
      <w:r w:rsidR="005E05EF" w:rsidRPr="00DD3275">
        <w:rPr>
          <w:rFonts w:ascii="Arial" w:eastAsia="Times New Roman" w:hAnsi="Arial" w:cs="Arial"/>
          <w:lang w:val="en-US"/>
        </w:rPr>
        <w:t xml:space="preserve">on 9 October 2019. </w:t>
      </w:r>
      <w:r w:rsidRPr="00DD3275">
        <w:rPr>
          <w:rFonts w:ascii="Arial" w:eastAsia="Times New Roman" w:hAnsi="Arial" w:cs="Arial"/>
          <w:lang w:val="en-US"/>
        </w:rPr>
        <w:t xml:space="preserve">The CMF will start at 10h00 and will be held at Nelson Wine Estate, R44, Windmeul, Paarl (same venue as last year). If you plan to attend please RSVP </w:t>
      </w:r>
      <w:r w:rsidRPr="00DD3275">
        <w:rPr>
          <w:rFonts w:ascii="Arial" w:eastAsia="Times New Roman" w:hAnsi="Arial" w:cs="Arial"/>
          <w:b/>
          <w:lang w:val="en-US"/>
        </w:rPr>
        <w:t xml:space="preserve">by 4 October 2019 </w:t>
      </w:r>
      <w:r w:rsidRPr="00DD3275">
        <w:rPr>
          <w:rFonts w:ascii="Arial" w:eastAsia="Times New Roman" w:hAnsi="Arial" w:cs="Arial"/>
          <w:lang w:val="en-US"/>
        </w:rPr>
        <w:t xml:space="preserve">to </w:t>
      </w:r>
      <w:hyperlink r:id="rId7" w:history="1">
        <w:r w:rsidRPr="00DD3275">
          <w:rPr>
            <w:rStyle w:val="Hyperlink"/>
            <w:rFonts w:ascii="Arial" w:eastAsia="Times New Roman" w:hAnsi="Arial" w:cs="Arial"/>
            <w:lang w:val="en-US"/>
          </w:rPr>
          <w:t>claudia@fpef.co.za</w:t>
        </w:r>
      </w:hyperlink>
      <w:r w:rsidRPr="00DD3275">
        <w:rPr>
          <w:rFonts w:ascii="Arial" w:eastAsia="Times New Roman" w:hAnsi="Arial" w:cs="Arial"/>
          <w:lang w:val="en-US"/>
        </w:rPr>
        <w:t xml:space="preserve"> . Agenda available from </w:t>
      </w:r>
      <w:r w:rsidR="005E05EF" w:rsidRPr="00DD3275">
        <w:rPr>
          <w:rFonts w:ascii="Arial" w:eastAsia="Times New Roman" w:hAnsi="Arial" w:cs="Arial"/>
          <w:lang w:val="en-US"/>
        </w:rPr>
        <w:t xml:space="preserve">John Edmonds </w:t>
      </w:r>
      <w:hyperlink r:id="rId8" w:history="1">
        <w:r w:rsidR="005E05EF" w:rsidRPr="00DD3275">
          <w:rPr>
            <w:rStyle w:val="Hyperlink"/>
            <w:rFonts w:ascii="Arial" w:eastAsia="Times New Roman" w:hAnsi="Arial" w:cs="Arial"/>
            <w:lang w:val="en-US"/>
          </w:rPr>
          <w:t>johne@cga.co.za</w:t>
        </w:r>
      </w:hyperlink>
      <w:r w:rsidR="005E05EF" w:rsidRPr="00DD3275">
        <w:rPr>
          <w:rFonts w:ascii="Arial" w:eastAsia="Times New Roman" w:hAnsi="Arial" w:cs="Arial"/>
          <w:lang w:val="en-US"/>
        </w:rPr>
        <w:t xml:space="preserve"> </w:t>
      </w:r>
    </w:p>
    <w:p w:rsidR="00595E08" w:rsidRPr="00405E38" w:rsidRDefault="00595E08" w:rsidP="00595E08">
      <w:pPr>
        <w:spacing w:after="0"/>
        <w:rPr>
          <w:rFonts w:ascii="Arial" w:eastAsia="Times New Roman" w:hAnsi="Arial" w:cs="Arial"/>
          <w:b/>
          <w:color w:val="C45911" w:themeColor="accent2" w:themeShade="BF"/>
          <w:sz w:val="21"/>
          <w:szCs w:val="21"/>
          <w:u w:val="single"/>
          <w:lang w:val="en-US"/>
        </w:rPr>
      </w:pPr>
      <w:r w:rsidRPr="00405E38">
        <w:rPr>
          <w:rFonts w:ascii="Arial" w:eastAsia="Times New Roman" w:hAnsi="Arial" w:cs="Arial"/>
          <w:b/>
          <w:color w:val="C45911" w:themeColor="accent2" w:themeShade="BF"/>
          <w:sz w:val="21"/>
          <w:szCs w:val="21"/>
          <w:u w:val="single"/>
          <w:lang w:val="en-US"/>
        </w:rPr>
        <w:t>PACKED AND SHIPPED</w:t>
      </w:r>
    </w:p>
    <w:tbl>
      <w:tblPr>
        <w:tblW w:w="10743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134"/>
        <w:gridCol w:w="993"/>
        <w:gridCol w:w="1100"/>
        <w:gridCol w:w="995"/>
        <w:gridCol w:w="1106"/>
        <w:gridCol w:w="884"/>
      </w:tblGrid>
      <w:tr w:rsidR="004645E1" w:rsidRPr="004645E1" w:rsidTr="008B5FDB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Mill</w:t>
            </w:r>
            <w:r w:rsidR="009D0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ion 15 Kg Cartons to end Week 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Packed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Packed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Packed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Shipped</w:t>
            </w:r>
          </w:p>
        </w:tc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Shipped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Original Estimate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Latest Prediction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Final Packed</w:t>
            </w:r>
          </w:p>
        </w:tc>
      </w:tr>
      <w:tr w:rsidR="004645E1" w:rsidRPr="004645E1" w:rsidTr="008B5FDB">
        <w:trPr>
          <w:trHeight w:val="2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SOURCE: PPECB/AgriHub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2018</w:t>
            </w:r>
          </w:p>
        </w:tc>
      </w:tr>
      <w:tr w:rsidR="004645E1" w:rsidRPr="004645E1" w:rsidTr="008B5FDB">
        <w:trPr>
          <w:trHeight w:val="2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Grapefruit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15.5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645E1" w:rsidRPr="004645E1" w:rsidRDefault="009D0040" w:rsidP="008A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18.6 m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5B697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="002D1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 m</w:t>
            </w:r>
          </w:p>
        </w:tc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14.5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17.1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756592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756592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16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18.8 m</w:t>
            </w:r>
          </w:p>
        </w:tc>
      </w:tr>
      <w:tr w:rsidR="004645E1" w:rsidRPr="004645E1" w:rsidTr="008B5FDB">
        <w:trPr>
          <w:trHeight w:val="2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Soft Citrus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13.4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 m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18.1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15.5 m</w:t>
            </w:r>
          </w:p>
        </w:tc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17.1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18.3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756592" w:rsidRDefault="005B697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5659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19</w:t>
            </w:r>
            <w:r w:rsidR="00756592" w:rsidRPr="0075659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.1</w:t>
            </w:r>
            <w:r w:rsidRPr="0075659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16.2 m</w:t>
            </w:r>
          </w:p>
        </w:tc>
      </w:tr>
      <w:tr w:rsidR="004645E1" w:rsidRPr="004645E1" w:rsidTr="008B5FDB">
        <w:trPr>
          <w:trHeight w:val="2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Lemons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19.4 m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9D0040" w:rsidP="002D1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21.7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18.6 m</w:t>
            </w:r>
          </w:p>
        </w:tc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756592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5659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22.4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19.9 m</w:t>
            </w:r>
          </w:p>
        </w:tc>
      </w:tr>
      <w:tr w:rsidR="004645E1" w:rsidRPr="004645E1" w:rsidTr="008B5FDB">
        <w:trPr>
          <w:trHeight w:val="2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Navels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5B697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645E1" w:rsidRPr="004645E1" w:rsidRDefault="005B6970" w:rsidP="008A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</w:t>
            </w:r>
            <w:r w:rsidR="008A2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24.2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26.2 m</w:t>
            </w:r>
          </w:p>
        </w:tc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26.9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9D0040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ZA"/>
              </w:rPr>
              <w:t>24.4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26.7 m</w:t>
            </w:r>
          </w:p>
        </w:tc>
      </w:tr>
      <w:tr w:rsidR="004645E1" w:rsidRPr="004645E1" w:rsidTr="008B5FDB">
        <w:trPr>
          <w:trHeight w:val="2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Valencia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49.9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48.7 m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9D0040" w:rsidP="002D1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44.9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42.6 m</w:t>
            </w:r>
          </w:p>
        </w:tc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37.3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52.9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9D0040" w:rsidRDefault="009D0040" w:rsidP="0075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ZA"/>
              </w:rPr>
              <w:t>45.9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54.4 m</w:t>
            </w:r>
          </w:p>
        </w:tc>
      </w:tr>
      <w:tr w:rsidR="004645E1" w:rsidRPr="004645E1" w:rsidTr="008B5FDB">
        <w:trPr>
          <w:trHeight w:val="2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118.8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129.2 m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124.9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119.9 m</w:t>
            </w:r>
          </w:p>
        </w:tc>
        <w:tc>
          <w:tcPr>
            <w:tcW w:w="1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109.9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137.2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45E1" w:rsidRPr="004645E1" w:rsidRDefault="005B6970" w:rsidP="0075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127.</w:t>
            </w:r>
            <w:r w:rsidR="0075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136 m</w:t>
            </w:r>
          </w:p>
        </w:tc>
      </w:tr>
    </w:tbl>
    <w:p w:rsidR="004645E1" w:rsidRDefault="004645E1" w:rsidP="00B673C4"/>
    <w:sectPr w:rsidR="004645E1" w:rsidSect="005859D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2E" w:rsidRDefault="00F5022E" w:rsidP="00595E08">
      <w:pPr>
        <w:spacing w:after="0" w:line="240" w:lineRule="auto"/>
      </w:pPr>
      <w:r>
        <w:separator/>
      </w:r>
    </w:p>
  </w:endnote>
  <w:endnote w:type="continuationSeparator" w:id="0">
    <w:p w:rsidR="00F5022E" w:rsidRDefault="00F5022E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75" w:rsidRPr="00EF7AA5" w:rsidRDefault="00DD3275" w:rsidP="00DD3275">
    <w:pPr>
      <w:spacing w:after="0" w:line="240" w:lineRule="auto"/>
      <w:ind w:right="-330"/>
      <w:jc w:val="center"/>
      <w:rPr>
        <w:rFonts w:ascii="Arial" w:hAnsi="Arial" w:cs="Arial"/>
        <w:b/>
        <w:color w:val="00B050"/>
        <w:sz w:val="21"/>
        <w:szCs w:val="21"/>
      </w:rPr>
    </w:pPr>
    <w:r w:rsidRPr="00EF7AA5">
      <w:rPr>
        <w:rFonts w:ascii="Arial" w:hAnsi="Arial" w:cs="Arial"/>
        <w:b/>
        <w:color w:val="00B050"/>
        <w:sz w:val="21"/>
        <w:szCs w:val="21"/>
      </w:rPr>
      <w:t>CGA GROUP OF COMPANIES (CRI, RIVER BIOSCIENCE, XSIT, CGA CULTIVAR COMPANY,</w:t>
    </w:r>
  </w:p>
  <w:p w:rsidR="00DD3275" w:rsidRPr="00EF7AA5" w:rsidRDefault="00DD3275" w:rsidP="00DD3275">
    <w:pPr>
      <w:spacing w:after="0" w:line="240" w:lineRule="auto"/>
      <w:ind w:right="-330"/>
      <w:jc w:val="center"/>
      <w:rPr>
        <w:rFonts w:ascii="Arial" w:hAnsi="Arial" w:cs="Arial"/>
        <w:b/>
        <w:color w:val="00B050"/>
        <w:sz w:val="21"/>
        <w:szCs w:val="21"/>
      </w:rPr>
    </w:pPr>
    <w:r w:rsidRPr="00EF7AA5">
      <w:rPr>
        <w:rFonts w:ascii="Arial" w:hAnsi="Arial" w:cs="Arial"/>
        <w:b/>
        <w:color w:val="00B050"/>
        <w:sz w:val="21"/>
        <w:szCs w:val="21"/>
      </w:rPr>
      <w:t>CGA GROWER DEVELOPMENT COMPANY &amp; CITRUS ACADEMY) ARE FUNDED BY THE</w:t>
    </w:r>
  </w:p>
  <w:p w:rsidR="00DD3275" w:rsidRDefault="00DD3275" w:rsidP="00DD3275">
    <w:pPr>
      <w:pStyle w:val="Footer"/>
      <w:jc w:val="center"/>
    </w:pPr>
    <w:r w:rsidRPr="00EF7AA5">
      <w:rPr>
        <w:rFonts w:ascii="Arial" w:hAnsi="Arial" w:cs="Arial"/>
        <w:b/>
        <w:color w:val="00B050"/>
        <w:sz w:val="21"/>
        <w:szCs w:val="21"/>
      </w:rPr>
      <w:t>SOUTHERN AFRICAN CITRUS GROWERS</w:t>
    </w:r>
  </w:p>
  <w:p w:rsidR="00595E08" w:rsidRDefault="00595E08" w:rsidP="00B673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2E" w:rsidRDefault="00F5022E" w:rsidP="00595E08">
      <w:pPr>
        <w:spacing w:after="0" w:line="240" w:lineRule="auto"/>
      </w:pPr>
      <w:r>
        <w:separator/>
      </w:r>
    </w:p>
  </w:footnote>
  <w:footnote w:type="continuationSeparator" w:id="0">
    <w:p w:rsidR="00F5022E" w:rsidRDefault="00F5022E" w:rsidP="00595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31C21"/>
    <w:rsid w:val="00045FE2"/>
    <w:rsid w:val="000A39E7"/>
    <w:rsid w:val="000D7425"/>
    <w:rsid w:val="00175734"/>
    <w:rsid w:val="001757E7"/>
    <w:rsid w:val="0023735C"/>
    <w:rsid w:val="002512C0"/>
    <w:rsid w:val="002D122B"/>
    <w:rsid w:val="00313CB1"/>
    <w:rsid w:val="00361403"/>
    <w:rsid w:val="003C27D4"/>
    <w:rsid w:val="003F0C6F"/>
    <w:rsid w:val="004645E1"/>
    <w:rsid w:val="00495189"/>
    <w:rsid w:val="004C529E"/>
    <w:rsid w:val="004E0F63"/>
    <w:rsid w:val="0050561C"/>
    <w:rsid w:val="00562B1F"/>
    <w:rsid w:val="005663ED"/>
    <w:rsid w:val="005822CF"/>
    <w:rsid w:val="005859D8"/>
    <w:rsid w:val="00595E08"/>
    <w:rsid w:val="005B6970"/>
    <w:rsid w:val="005B7B5D"/>
    <w:rsid w:val="005E05EF"/>
    <w:rsid w:val="005F2989"/>
    <w:rsid w:val="00611C22"/>
    <w:rsid w:val="00612231"/>
    <w:rsid w:val="006254FA"/>
    <w:rsid w:val="00690E5D"/>
    <w:rsid w:val="0069320C"/>
    <w:rsid w:val="0069350E"/>
    <w:rsid w:val="006A0B6E"/>
    <w:rsid w:val="006E394D"/>
    <w:rsid w:val="00732CB3"/>
    <w:rsid w:val="00756592"/>
    <w:rsid w:val="00757321"/>
    <w:rsid w:val="007958FA"/>
    <w:rsid w:val="007E6B47"/>
    <w:rsid w:val="00852AAD"/>
    <w:rsid w:val="0087221E"/>
    <w:rsid w:val="008755FB"/>
    <w:rsid w:val="008756F8"/>
    <w:rsid w:val="008A23F8"/>
    <w:rsid w:val="008B1479"/>
    <w:rsid w:val="008B5FDB"/>
    <w:rsid w:val="00954793"/>
    <w:rsid w:val="00954DBD"/>
    <w:rsid w:val="00955884"/>
    <w:rsid w:val="0097764C"/>
    <w:rsid w:val="009A1B72"/>
    <w:rsid w:val="009D0040"/>
    <w:rsid w:val="00A31AD6"/>
    <w:rsid w:val="00AC7D19"/>
    <w:rsid w:val="00B06DA7"/>
    <w:rsid w:val="00B673C4"/>
    <w:rsid w:val="00BA3973"/>
    <w:rsid w:val="00BB4B0B"/>
    <w:rsid w:val="00BC0F93"/>
    <w:rsid w:val="00BE1805"/>
    <w:rsid w:val="00BF1983"/>
    <w:rsid w:val="00C02E4C"/>
    <w:rsid w:val="00C35B43"/>
    <w:rsid w:val="00C41489"/>
    <w:rsid w:val="00C510B2"/>
    <w:rsid w:val="00C51114"/>
    <w:rsid w:val="00CF5E26"/>
    <w:rsid w:val="00D67D4B"/>
    <w:rsid w:val="00DA0CE9"/>
    <w:rsid w:val="00DD3275"/>
    <w:rsid w:val="00E017AC"/>
    <w:rsid w:val="00E0676F"/>
    <w:rsid w:val="00E14724"/>
    <w:rsid w:val="00E31082"/>
    <w:rsid w:val="00F34519"/>
    <w:rsid w:val="00F5022E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12C85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e@cga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audia@fpef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Gloria</cp:lastModifiedBy>
  <cp:revision>11</cp:revision>
  <dcterms:created xsi:type="dcterms:W3CDTF">2019-09-23T05:36:00Z</dcterms:created>
  <dcterms:modified xsi:type="dcterms:W3CDTF">2019-09-27T08:20:00Z</dcterms:modified>
</cp:coreProperties>
</file>