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5F4137">
        <w:rPr>
          <w:rFonts w:ascii="Comic Sans MS" w:hAnsi="Comic Sans MS"/>
          <w:b/>
          <w:i/>
          <w:sz w:val="40"/>
          <w:szCs w:val="40"/>
        </w:rPr>
        <w:t>47/</w:t>
      </w:r>
      <w:r w:rsidRPr="00490CA8">
        <w:rPr>
          <w:rFonts w:ascii="Comic Sans MS" w:hAnsi="Comic Sans MS"/>
          <w:b/>
          <w:i/>
          <w:sz w:val="40"/>
          <w:szCs w:val="40"/>
        </w:rPr>
        <w:t>19)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5F4137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Justin Chadwick 22</w:t>
      </w:r>
      <w:r w:rsidR="000E541C">
        <w:rPr>
          <w:rFonts w:ascii="Comic Sans MS" w:hAnsi="Comic Sans MS"/>
          <w:i/>
          <w:sz w:val="21"/>
          <w:szCs w:val="21"/>
        </w:rPr>
        <w:t xml:space="preserve"> November</w:t>
      </w:r>
      <w:r w:rsidR="00361403">
        <w:rPr>
          <w:rFonts w:ascii="Comic Sans MS" w:hAnsi="Comic Sans MS"/>
          <w:i/>
          <w:sz w:val="21"/>
          <w:szCs w:val="21"/>
        </w:rPr>
        <w:t xml:space="preserve"> </w:t>
      </w:r>
      <w:r w:rsidR="00361403" w:rsidRPr="00EF7AA5">
        <w:rPr>
          <w:rFonts w:ascii="Comic Sans MS" w:hAnsi="Comic Sans MS"/>
          <w:i/>
          <w:sz w:val="21"/>
          <w:szCs w:val="21"/>
        </w:rPr>
        <w:t>2019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0D76D2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ED209B" w:rsidRDefault="005F4137" w:rsidP="00ED209B">
            <w:pPr>
              <w:ind w:right="-329"/>
              <w:rPr>
                <w:rFonts w:ascii="Arial" w:hAnsi="Arial" w:cs="Arial"/>
                <w:b/>
                <w:i/>
                <w:lang w:val="en-US"/>
              </w:rPr>
            </w:pPr>
            <w:r w:rsidRPr="00897D4D">
              <w:rPr>
                <w:rFonts w:ascii="Arial" w:hAnsi="Arial" w:cs="Arial"/>
                <w:b/>
                <w:i/>
                <w:lang w:val="en-US"/>
              </w:rPr>
              <w:t>“</w:t>
            </w:r>
            <w:r>
              <w:rPr>
                <w:rFonts w:ascii="Arial" w:hAnsi="Arial" w:cs="Arial"/>
                <w:b/>
                <w:i/>
                <w:lang w:val="en-US"/>
              </w:rPr>
              <w:t>Leadership is about vision and responsibility, not power.” – Seth Berkley</w:t>
            </w:r>
          </w:p>
        </w:tc>
      </w:tr>
    </w:tbl>
    <w:p w:rsidR="005F4137" w:rsidRPr="00A40974" w:rsidRDefault="005F4137" w:rsidP="005F4137">
      <w:pPr>
        <w:spacing w:after="0" w:line="240" w:lineRule="auto"/>
        <w:rPr>
          <w:rFonts w:eastAsia="Times New Roman" w:cs="Calibri"/>
          <w:b/>
          <w:color w:val="C45911" w:themeColor="accent2" w:themeShade="BF"/>
          <w:u w:val="single"/>
          <w:lang w:val="en-US"/>
        </w:rPr>
      </w:pPr>
      <w:r w:rsidRPr="00A40974">
        <w:rPr>
          <w:rFonts w:eastAsia="Times New Roman" w:cs="Calibri"/>
          <w:b/>
          <w:color w:val="C45911" w:themeColor="accent2" w:themeShade="BF"/>
          <w:u w:val="single"/>
          <w:lang w:val="en-US"/>
        </w:rPr>
        <w:t>2019 SOFT CITR</w:t>
      </w:r>
      <w:r w:rsidRPr="00A40974">
        <w:rPr>
          <w:rFonts w:eastAsia="Times New Roman" w:cs="Calibri"/>
          <w:b/>
          <w:bCs/>
          <w:color w:val="C45911" w:themeColor="accent2" w:themeShade="BF"/>
          <w:u w:val="single"/>
        </w:rPr>
        <w:t>U</w:t>
      </w:r>
      <w:r w:rsidRPr="00A40974">
        <w:rPr>
          <w:rFonts w:eastAsia="Times New Roman" w:cs="Calibri"/>
          <w:b/>
          <w:color w:val="C45911" w:themeColor="accent2" w:themeShade="BF"/>
          <w:u w:val="single"/>
          <w:lang w:val="en-US"/>
        </w:rPr>
        <w:t xml:space="preserve">S SEASONAL REVIEW (Prepared by Portia Magwaza; CGA Research Economist)  </w:t>
      </w:r>
    </w:p>
    <w:p w:rsidR="005F4137" w:rsidRPr="008B7F6E" w:rsidRDefault="005F4137" w:rsidP="005F4137">
      <w:pPr>
        <w:spacing w:after="0" w:line="240" w:lineRule="auto"/>
        <w:jc w:val="both"/>
        <w:rPr>
          <w:bCs/>
          <w:sz w:val="21"/>
          <w:szCs w:val="21"/>
        </w:rPr>
      </w:pPr>
      <w:r>
        <w:rPr>
          <w:noProof/>
          <w:lang w:eastAsia="en-ZA"/>
        </w:rPr>
        <w:drawing>
          <wp:anchor distT="0" distB="0" distL="114300" distR="114300" simplePos="0" relativeHeight="251665408" behindDoc="1" locked="0" layoutInCell="1" allowOverlap="1" wp14:anchorId="64D36DA5" wp14:editId="23A07DD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792220" cy="1906270"/>
            <wp:effectExtent l="0" t="0" r="17780" b="17780"/>
            <wp:wrapTight wrapText="bothSides">
              <wp:wrapPolygon edited="0">
                <wp:start x="0" y="0"/>
                <wp:lineTo x="0" y="21586"/>
                <wp:lineTo x="21593" y="21586"/>
                <wp:lineTo x="2159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 xml:space="preserve"> </w:t>
      </w:r>
      <w:r w:rsidRPr="008B7F6E">
        <w:rPr>
          <w:bCs/>
          <w:sz w:val="21"/>
          <w:szCs w:val="21"/>
        </w:rPr>
        <w:t>As the curtain is down on the 2019 soft citrus season</w:t>
      </w:r>
      <w:r w:rsidR="00FE7527">
        <w:rPr>
          <w:bCs/>
          <w:sz w:val="21"/>
          <w:szCs w:val="21"/>
        </w:rPr>
        <w:t xml:space="preserve">, </w:t>
      </w:r>
      <w:r w:rsidRPr="008B7F6E">
        <w:rPr>
          <w:bCs/>
          <w:sz w:val="21"/>
          <w:szCs w:val="21"/>
        </w:rPr>
        <w:t>it has been a record in terms of volume packed for export surpassing 2018’s 16.2 million cartons.  The initial estimate was fo</w:t>
      </w:r>
      <w:r w:rsidR="00E54B2A">
        <w:rPr>
          <w:bCs/>
          <w:sz w:val="21"/>
          <w:szCs w:val="21"/>
        </w:rPr>
        <w:t xml:space="preserve">r 18.3 million cartons with </w:t>
      </w:r>
      <w:r w:rsidRPr="008B7F6E">
        <w:rPr>
          <w:bCs/>
          <w:sz w:val="21"/>
          <w:szCs w:val="21"/>
        </w:rPr>
        <w:t xml:space="preserve">the final tally being 18.2 million – well done Soft Citrus Focus Group. </w:t>
      </w:r>
    </w:p>
    <w:p w:rsidR="005F4137" w:rsidRPr="008B7F6E" w:rsidRDefault="005F4137" w:rsidP="005F4137">
      <w:pPr>
        <w:spacing w:after="0" w:line="240" w:lineRule="auto"/>
        <w:jc w:val="both"/>
        <w:rPr>
          <w:bCs/>
          <w:sz w:val="21"/>
          <w:szCs w:val="21"/>
        </w:rPr>
      </w:pPr>
      <w:r w:rsidRPr="008B7F6E">
        <w:rPr>
          <w:bCs/>
          <w:sz w:val="21"/>
          <w:szCs w:val="21"/>
        </w:rPr>
        <w:t>The biggest region is Boland with 4.3 million car</w:t>
      </w:r>
      <w:r w:rsidR="00E54B2A">
        <w:rPr>
          <w:bCs/>
          <w:sz w:val="21"/>
          <w:szCs w:val="21"/>
        </w:rPr>
        <w:t xml:space="preserve">tons, followed by Western Cape 3.4 million </w:t>
      </w:r>
      <w:r w:rsidRPr="008B7F6E">
        <w:rPr>
          <w:bCs/>
          <w:sz w:val="21"/>
          <w:szCs w:val="21"/>
        </w:rPr>
        <w:t>and Patensie (despite water woes</w:t>
      </w:r>
      <w:r w:rsidR="00E54B2A">
        <w:rPr>
          <w:bCs/>
          <w:sz w:val="21"/>
          <w:szCs w:val="21"/>
        </w:rPr>
        <w:t>) recorded 2.6 million</w:t>
      </w:r>
      <w:r w:rsidRPr="008B7F6E">
        <w:rPr>
          <w:bCs/>
          <w:sz w:val="21"/>
          <w:szCs w:val="21"/>
        </w:rPr>
        <w:t xml:space="preserve">. Sunday River Valley packed 2.5 million cartons while Burgersfort and Ohrigstad packed 1.7 million cartons. </w:t>
      </w:r>
    </w:p>
    <w:p w:rsidR="005F4137" w:rsidRDefault="005F4137" w:rsidP="005F4137">
      <w:pPr>
        <w:spacing w:after="0" w:line="240" w:lineRule="auto"/>
        <w:jc w:val="both"/>
        <w:rPr>
          <w:bCs/>
        </w:rPr>
      </w:pPr>
      <w:r w:rsidRPr="008B7F6E">
        <w:rPr>
          <w:bCs/>
          <w:sz w:val="21"/>
          <w:szCs w:val="21"/>
        </w:rPr>
        <w:t xml:space="preserve">The </w:t>
      </w:r>
      <w:r w:rsidRPr="008B7F6E">
        <w:rPr>
          <w:rFonts w:asciiTheme="minorHAnsi" w:eastAsia="Times New Roman" w:hAnsiTheme="minorHAnsi" w:cstheme="minorHAnsi"/>
          <w:sz w:val="21"/>
          <w:szCs w:val="21"/>
          <w:lang w:val="en-US"/>
        </w:rPr>
        <w:t>UK re</w:t>
      </w:r>
      <w:r w:rsidR="00E54B2A">
        <w:rPr>
          <w:rFonts w:asciiTheme="minorHAnsi" w:eastAsia="Times New Roman" w:hAnsiTheme="minorHAnsi" w:cstheme="minorHAnsi"/>
          <w:sz w:val="21"/>
          <w:szCs w:val="21"/>
          <w:lang w:val="en-US"/>
        </w:rPr>
        <w:t>mained the top destination for s</w:t>
      </w:r>
      <w:r w:rsidRPr="008B7F6E">
        <w:rPr>
          <w:rFonts w:asciiTheme="minorHAnsi" w:eastAsia="Times New Roman" w:hAnsiTheme="minorHAnsi" w:cstheme="minorHAnsi"/>
          <w:sz w:val="21"/>
          <w:szCs w:val="21"/>
          <w:lang w:val="en-US"/>
        </w:rPr>
        <w:t>o</w:t>
      </w:r>
      <w:r w:rsidRPr="008B7F6E">
        <w:rPr>
          <w:bCs/>
          <w:sz w:val="21"/>
          <w:szCs w:val="21"/>
        </w:rPr>
        <w:t>u</w:t>
      </w:r>
      <w:r w:rsidRPr="008B7F6E">
        <w:rPr>
          <w:rFonts w:asciiTheme="minorHAnsi" w:eastAsia="Times New Roman" w:hAnsiTheme="minorHAnsi" w:cstheme="minorHAnsi"/>
          <w:sz w:val="21"/>
          <w:szCs w:val="21"/>
          <w:lang w:val="en-US"/>
        </w:rPr>
        <w:t>thern African soft citrus – decreasing from 2018’s 61 900 tonnes to 61 200 tonnes.  Netherlands came in second with an increase from 48 000 tonnes to 55 300 tonnes. Russia experiences a slight decrease from 26 400 tonnes to 24 400 tonnes. The fo</w:t>
      </w:r>
      <w:r w:rsidRPr="008B7F6E">
        <w:rPr>
          <w:bCs/>
          <w:sz w:val="21"/>
          <w:szCs w:val="21"/>
        </w:rPr>
        <w:t xml:space="preserve">urth position goes to </w:t>
      </w:r>
      <w:r w:rsidRPr="008B7F6E">
        <w:rPr>
          <w:rFonts w:asciiTheme="minorHAnsi" w:eastAsia="Times New Roman" w:hAnsiTheme="minorHAnsi" w:cstheme="minorHAnsi"/>
          <w:sz w:val="21"/>
          <w:szCs w:val="21"/>
          <w:lang w:val="en-US"/>
        </w:rPr>
        <w:t>USA – increasing from 12 800 tonnes to 16 600 tonnes as did Bangladesh (10 600 tonnes vs 14 300 tonnes).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  <w:r>
        <w:rPr>
          <w:bCs/>
        </w:rPr>
        <w:t xml:space="preserve"> </w:t>
      </w:r>
      <w:r w:rsidR="00FA06B9">
        <w:rPr>
          <w:bCs/>
        </w:rPr>
        <w:t xml:space="preserve"> </w:t>
      </w:r>
      <w:r w:rsidR="00496A4F">
        <w:rPr>
          <w:bCs/>
        </w:rPr>
        <w:t xml:space="preserve"> </w:t>
      </w:r>
    </w:p>
    <w:p w:rsidR="00496A4F" w:rsidRDefault="00496A4F" w:rsidP="005F4137">
      <w:pPr>
        <w:spacing w:after="0" w:line="240" w:lineRule="auto"/>
        <w:jc w:val="both"/>
        <w:rPr>
          <w:bCs/>
        </w:rPr>
      </w:pPr>
      <w:r>
        <w:rPr>
          <w:noProof/>
          <w:lang w:eastAsia="en-ZA"/>
        </w:rPr>
        <w:drawing>
          <wp:anchor distT="0" distB="0" distL="114300" distR="114300" simplePos="0" relativeHeight="251667456" behindDoc="1" locked="0" layoutInCell="1" allowOverlap="1" wp14:anchorId="5158FF1D" wp14:editId="5E3FD2E6">
            <wp:simplePos x="0" y="0"/>
            <wp:positionH relativeFrom="column">
              <wp:posOffset>119380</wp:posOffset>
            </wp:positionH>
            <wp:positionV relativeFrom="paragraph">
              <wp:posOffset>30480</wp:posOffset>
            </wp:positionV>
            <wp:extent cx="3829685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8" name="Picture 8" descr="cid:image001.png@01D59ED9.7C221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id:image001.png@01D59ED9.7C221D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6B9" w:rsidRDefault="008B7F6E" w:rsidP="005F4137">
      <w:pPr>
        <w:spacing w:after="0" w:line="240" w:lineRule="auto"/>
        <w:jc w:val="both"/>
        <w:rPr>
          <w:bCs/>
        </w:rPr>
      </w:pPr>
      <w:r>
        <w:rPr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8AB9D0" wp14:editId="52074EDB">
                <wp:simplePos x="0" y="0"/>
                <wp:positionH relativeFrom="column">
                  <wp:posOffset>4519930</wp:posOffset>
                </wp:positionH>
                <wp:positionV relativeFrom="paragraph">
                  <wp:posOffset>2540</wp:posOffset>
                </wp:positionV>
                <wp:extent cx="2251075" cy="1647190"/>
                <wp:effectExtent l="0" t="0" r="15875" b="10160"/>
                <wp:wrapTight wrapText="bothSides">
                  <wp:wrapPolygon edited="0">
                    <wp:start x="0" y="0"/>
                    <wp:lineTo x="0" y="21483"/>
                    <wp:lineTo x="21570" y="21483"/>
                    <wp:lineTo x="2157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64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A4F" w:rsidRPr="00FE7527" w:rsidRDefault="00E54B2A" w:rsidP="00BB20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Late mandarins continue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496A4F" w:rsidRPr="00FE7527">
                              <w:rPr>
                                <w:sz w:val="21"/>
                                <w:szCs w:val="21"/>
                              </w:rPr>
                              <w:t xml:space="preserve"> dominate</w:t>
                            </w:r>
                            <w:proofErr w:type="gramEnd"/>
                            <w:r w:rsidR="00496A4F" w:rsidRPr="00FE7527">
                              <w:rPr>
                                <w:sz w:val="21"/>
                                <w:szCs w:val="21"/>
                              </w:rPr>
                              <w:t xml:space="preserve"> this category- rising to 8.6 million cartons in 2019. Nova’s reached a plateau at 3.6 million cartons. Whilst clementine’s over took the sec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ond spot at 3.8 million cartons,</w:t>
                            </w:r>
                            <w:bookmarkStart w:id="0" w:name="_GoBack"/>
                            <w:bookmarkEnd w:id="0"/>
                            <w:r w:rsidR="00496A4F" w:rsidRPr="00FE7527">
                              <w:rPr>
                                <w:sz w:val="21"/>
                                <w:szCs w:val="21"/>
                              </w:rPr>
                              <w:t xml:space="preserve"> Sats</w:t>
                            </w:r>
                            <w:r w:rsidR="00496A4F" w:rsidRPr="00FE7527">
                              <w:rPr>
                                <w:bCs/>
                                <w:sz w:val="21"/>
                                <w:szCs w:val="21"/>
                              </w:rPr>
                              <w:t>uma’s declined at 1.3 million.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B9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9pt;margin-top:.2pt;width:177.25pt;height:12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" fillcolor="white [3201]" strokeweight=".5pt">
                <v:textbox>
                  <w:txbxContent>
                    <w:p w:rsidR="00496A4F" w:rsidRPr="00FE7527" w:rsidRDefault="00E54B2A" w:rsidP="00BB203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Late mandarins continue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 xml:space="preserve">to </w:t>
                      </w:r>
                      <w:r w:rsidR="00496A4F" w:rsidRPr="00FE7527">
                        <w:rPr>
                          <w:sz w:val="21"/>
                          <w:szCs w:val="21"/>
                        </w:rPr>
                        <w:t xml:space="preserve"> dominate</w:t>
                      </w:r>
                      <w:proofErr w:type="gramEnd"/>
                      <w:r w:rsidR="00496A4F" w:rsidRPr="00FE7527">
                        <w:rPr>
                          <w:sz w:val="21"/>
                          <w:szCs w:val="21"/>
                        </w:rPr>
                        <w:t xml:space="preserve"> this category- rising to 8.6 million cartons in 2019. Nova’s reached a plateau at 3.6 million cartons. Whilst clementine’s over took the sec</w:t>
                      </w:r>
                      <w:r>
                        <w:rPr>
                          <w:sz w:val="21"/>
                          <w:szCs w:val="21"/>
                        </w:rPr>
                        <w:t>ond spot at 3.8 million cartons,</w:t>
                      </w:r>
                      <w:bookmarkStart w:id="1" w:name="_GoBack"/>
                      <w:bookmarkEnd w:id="1"/>
                      <w:r w:rsidR="00496A4F" w:rsidRPr="00FE7527">
                        <w:rPr>
                          <w:sz w:val="21"/>
                          <w:szCs w:val="21"/>
                        </w:rPr>
                        <w:t xml:space="preserve"> Sats</w:t>
                      </w:r>
                      <w:r w:rsidR="00496A4F" w:rsidRPr="00FE7527">
                        <w:rPr>
                          <w:bCs/>
                          <w:sz w:val="21"/>
                          <w:szCs w:val="21"/>
                        </w:rPr>
                        <w:t>uma’s declined at 1.3 million.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4137" w:rsidRDefault="00FE7527" w:rsidP="005F4137">
      <w:pPr>
        <w:spacing w:after="0" w:line="240" w:lineRule="auto"/>
        <w:jc w:val="both"/>
        <w:rPr>
          <w:bCs/>
        </w:rPr>
      </w:pPr>
      <w:r w:rsidRPr="008B7F6E">
        <w:rPr>
          <w:bCs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86207F" wp14:editId="54997995">
                <wp:simplePos x="0" y="0"/>
                <wp:positionH relativeFrom="column">
                  <wp:posOffset>4377055</wp:posOffset>
                </wp:positionH>
                <wp:positionV relativeFrom="paragraph">
                  <wp:posOffset>1788160</wp:posOffset>
                </wp:positionV>
                <wp:extent cx="2350135" cy="2915920"/>
                <wp:effectExtent l="0" t="0" r="120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F6E" w:rsidRPr="00FE7527" w:rsidRDefault="00FE752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Under the auspices of the Southern Hemisphere Association of Fresh Fruit Exporters (SHAFFE) citrus export volume figures are shared on a weekly basis. John Edmonds (CGA Information Manager) has analysed the 2019 figures. USA is the major destination, predominantly serviced by Chile and Peru. South Africa dominated exports to UK, northern </w:t>
                            </w:r>
                            <w:r w:rsidR="003959C7">
                              <w:rPr>
                                <w:sz w:val="21"/>
                                <w:szCs w:val="21"/>
                              </w:rPr>
                              <w:t xml:space="preserve">and southern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Europe, Russia, South East Asia and Middle East. Australia are active in China and Asia. </w:t>
                            </w:r>
                            <w:r w:rsidR="003959C7">
                              <w:rPr>
                                <w:sz w:val="21"/>
                                <w:szCs w:val="21"/>
                              </w:rPr>
                              <w:t>Argentina comes into the mix in Russia. Canada is supplied by South Africa and Peru.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207F" id="Text Box 2" o:spid="_x0000_s1027" type="#_x0000_t202" style="position:absolute;left:0;text-align:left;margin-left:344.65pt;margin-top:140.8pt;width:185.05pt;height:22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h0KAIAAE4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">
                <v:textbox>
                  <w:txbxContent>
                    <w:p w:rsidR="008B7F6E" w:rsidRPr="00FE7527" w:rsidRDefault="00FE752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Under the auspices of the Southern Hemisphere Association of Fresh Fruit Exporters (SHAFFE) citrus export volume figures are shared on a weekly basis. John Edmonds (CGA Information Manager) has analysed the 2019 figures. USA is the major destination, predominantly serviced by Chile and Peru. South Africa dominated exports to UK, northern </w:t>
                      </w:r>
                      <w:r w:rsidR="003959C7">
                        <w:rPr>
                          <w:sz w:val="21"/>
                          <w:szCs w:val="21"/>
                        </w:rPr>
                        <w:t xml:space="preserve">and southern </w:t>
                      </w:r>
                      <w:r>
                        <w:rPr>
                          <w:sz w:val="21"/>
                          <w:szCs w:val="21"/>
                        </w:rPr>
                        <w:t xml:space="preserve">Europe, Russia, South East Asia and Middle East. Australia are active in China and Asia. </w:t>
                      </w:r>
                      <w:r w:rsidR="003959C7">
                        <w:rPr>
                          <w:sz w:val="21"/>
                          <w:szCs w:val="21"/>
                        </w:rPr>
                        <w:t>Argentina comes into the mix in Russia. Canada is supplied by South Africa and Peru.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F6E" w:rsidRDefault="008B7F6E" w:rsidP="007830CC">
      <w:r>
        <w:rPr>
          <w:rFonts w:cs="Calibri"/>
          <w:noProof/>
          <w:color w:val="1F497D"/>
          <w:lang w:eastAsia="en-ZA"/>
        </w:rPr>
        <w:drawing>
          <wp:inline distT="0" distB="0" distL="0" distR="0">
            <wp:extent cx="4130687" cy="2248525"/>
            <wp:effectExtent l="0" t="0" r="3175" b="0"/>
            <wp:docPr id="2" name="Picture 2" descr="cid:image008.png@01D5A07A.53390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5A07A.53390E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73" cy="2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F6E" w:rsidSect="005859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A3" w:rsidRDefault="007D7EA3" w:rsidP="00595E08">
      <w:pPr>
        <w:spacing w:after="0" w:line="240" w:lineRule="auto"/>
      </w:pPr>
      <w:r>
        <w:separator/>
      </w:r>
    </w:p>
  </w:endnote>
  <w:endnote w:type="continuationSeparator" w:id="0">
    <w:p w:rsidR="007D7EA3" w:rsidRDefault="007D7EA3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GROUP OF COMPANIES (CRI, RIVER BIOSCIENCE, XSIT, CGA CULTIVAR COMPANY,</w:t>
    </w:r>
  </w:p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GROWER DEVELOPMENT COMPANY &amp; CITRUS ACADEMY) ARE FUNDED BY THE</w:t>
    </w:r>
  </w:p>
  <w:p w:rsidR="00DD3275" w:rsidRDefault="00DD3275" w:rsidP="00DD3275">
    <w:pPr>
      <w:pStyle w:val="Footer"/>
      <w:jc w:val="center"/>
    </w:pPr>
    <w:r w:rsidRPr="00EF7AA5">
      <w:rPr>
        <w:rFonts w:ascii="Arial" w:hAnsi="Arial" w:cs="Arial"/>
        <w:b/>
        <w:color w:val="00B050"/>
        <w:sz w:val="21"/>
        <w:szCs w:val="21"/>
      </w:rPr>
      <w:t>SOUTHERN AFRICAN CITRUS GROWERS</w:t>
    </w: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A3" w:rsidRDefault="007D7EA3" w:rsidP="00595E08">
      <w:pPr>
        <w:spacing w:after="0" w:line="240" w:lineRule="auto"/>
      </w:pPr>
      <w:r>
        <w:separator/>
      </w:r>
    </w:p>
  </w:footnote>
  <w:footnote w:type="continuationSeparator" w:id="0">
    <w:p w:rsidR="007D7EA3" w:rsidRDefault="007D7EA3" w:rsidP="005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A39E7"/>
    <w:rsid w:val="000D7425"/>
    <w:rsid w:val="000E541C"/>
    <w:rsid w:val="000F5B14"/>
    <w:rsid w:val="00110F70"/>
    <w:rsid w:val="001218D8"/>
    <w:rsid w:val="00122FC7"/>
    <w:rsid w:val="00174465"/>
    <w:rsid w:val="00175734"/>
    <w:rsid w:val="001757E7"/>
    <w:rsid w:val="001A29BD"/>
    <w:rsid w:val="001B203D"/>
    <w:rsid w:val="001C679B"/>
    <w:rsid w:val="001D573C"/>
    <w:rsid w:val="001D69A2"/>
    <w:rsid w:val="0020144B"/>
    <w:rsid w:val="002176D6"/>
    <w:rsid w:val="00225418"/>
    <w:rsid w:val="00230CA5"/>
    <w:rsid w:val="0023735C"/>
    <w:rsid w:val="002512C0"/>
    <w:rsid w:val="00297526"/>
    <w:rsid w:val="002A3E51"/>
    <w:rsid w:val="002D122B"/>
    <w:rsid w:val="0030169A"/>
    <w:rsid w:val="00313CB1"/>
    <w:rsid w:val="00361403"/>
    <w:rsid w:val="003959C7"/>
    <w:rsid w:val="003C27D4"/>
    <w:rsid w:val="003D70AB"/>
    <w:rsid w:val="003F0C6F"/>
    <w:rsid w:val="003F2574"/>
    <w:rsid w:val="003F6E31"/>
    <w:rsid w:val="003F7804"/>
    <w:rsid w:val="00455927"/>
    <w:rsid w:val="004645E1"/>
    <w:rsid w:val="00495189"/>
    <w:rsid w:val="00496A4F"/>
    <w:rsid w:val="004C529E"/>
    <w:rsid w:val="004E0F63"/>
    <w:rsid w:val="0050561C"/>
    <w:rsid w:val="00541EB1"/>
    <w:rsid w:val="00562B1F"/>
    <w:rsid w:val="005822CF"/>
    <w:rsid w:val="005859D8"/>
    <w:rsid w:val="00595E08"/>
    <w:rsid w:val="005B6970"/>
    <w:rsid w:val="005B7B5D"/>
    <w:rsid w:val="005E05EF"/>
    <w:rsid w:val="005F2989"/>
    <w:rsid w:val="005F4137"/>
    <w:rsid w:val="00600B79"/>
    <w:rsid w:val="006042E1"/>
    <w:rsid w:val="00611C22"/>
    <w:rsid w:val="00612231"/>
    <w:rsid w:val="006254FA"/>
    <w:rsid w:val="006302CB"/>
    <w:rsid w:val="0063644A"/>
    <w:rsid w:val="006412FF"/>
    <w:rsid w:val="0067189B"/>
    <w:rsid w:val="006852F9"/>
    <w:rsid w:val="00690E5D"/>
    <w:rsid w:val="0069320C"/>
    <w:rsid w:val="0069350E"/>
    <w:rsid w:val="006A0B6E"/>
    <w:rsid w:val="006E0A15"/>
    <w:rsid w:val="006E394D"/>
    <w:rsid w:val="00732CB3"/>
    <w:rsid w:val="00756592"/>
    <w:rsid w:val="00757321"/>
    <w:rsid w:val="00761318"/>
    <w:rsid w:val="007830CC"/>
    <w:rsid w:val="007958FA"/>
    <w:rsid w:val="007A6F34"/>
    <w:rsid w:val="007D4D85"/>
    <w:rsid w:val="007D7EA3"/>
    <w:rsid w:val="007E360C"/>
    <w:rsid w:val="007E6B47"/>
    <w:rsid w:val="0081352C"/>
    <w:rsid w:val="00836320"/>
    <w:rsid w:val="0085133F"/>
    <w:rsid w:val="00852AAD"/>
    <w:rsid w:val="0087221E"/>
    <w:rsid w:val="008755FB"/>
    <w:rsid w:val="008756F8"/>
    <w:rsid w:val="008A23F8"/>
    <w:rsid w:val="008A3110"/>
    <w:rsid w:val="008B1479"/>
    <w:rsid w:val="008B5FDB"/>
    <w:rsid w:val="008B7F6E"/>
    <w:rsid w:val="00912266"/>
    <w:rsid w:val="00940202"/>
    <w:rsid w:val="00947800"/>
    <w:rsid w:val="00953EE0"/>
    <w:rsid w:val="00954793"/>
    <w:rsid w:val="00954DBD"/>
    <w:rsid w:val="00955884"/>
    <w:rsid w:val="0097764C"/>
    <w:rsid w:val="009A1B72"/>
    <w:rsid w:val="009D0040"/>
    <w:rsid w:val="009D709A"/>
    <w:rsid w:val="00A20F03"/>
    <w:rsid w:val="00A31AD6"/>
    <w:rsid w:val="00A320B1"/>
    <w:rsid w:val="00A40974"/>
    <w:rsid w:val="00A54595"/>
    <w:rsid w:val="00A837EA"/>
    <w:rsid w:val="00AA51FF"/>
    <w:rsid w:val="00AB5EC1"/>
    <w:rsid w:val="00AC7D19"/>
    <w:rsid w:val="00B0109A"/>
    <w:rsid w:val="00B04E97"/>
    <w:rsid w:val="00B06DA7"/>
    <w:rsid w:val="00B65EBE"/>
    <w:rsid w:val="00B673C4"/>
    <w:rsid w:val="00B84D8D"/>
    <w:rsid w:val="00BA3973"/>
    <w:rsid w:val="00BB0DE8"/>
    <w:rsid w:val="00BB2034"/>
    <w:rsid w:val="00BB4B0B"/>
    <w:rsid w:val="00BC0F93"/>
    <w:rsid w:val="00BE1805"/>
    <w:rsid w:val="00BF0FF8"/>
    <w:rsid w:val="00BF1983"/>
    <w:rsid w:val="00C02E4C"/>
    <w:rsid w:val="00C35B43"/>
    <w:rsid w:val="00C41489"/>
    <w:rsid w:val="00C510B2"/>
    <w:rsid w:val="00C51114"/>
    <w:rsid w:val="00CB303A"/>
    <w:rsid w:val="00CF5E26"/>
    <w:rsid w:val="00D0558A"/>
    <w:rsid w:val="00D2092A"/>
    <w:rsid w:val="00D219B0"/>
    <w:rsid w:val="00D278A3"/>
    <w:rsid w:val="00D67D4B"/>
    <w:rsid w:val="00D84A21"/>
    <w:rsid w:val="00D94669"/>
    <w:rsid w:val="00DA0CE9"/>
    <w:rsid w:val="00DC4F50"/>
    <w:rsid w:val="00DD3275"/>
    <w:rsid w:val="00DE100B"/>
    <w:rsid w:val="00E017AC"/>
    <w:rsid w:val="00E0676F"/>
    <w:rsid w:val="00E14724"/>
    <w:rsid w:val="00E31082"/>
    <w:rsid w:val="00E3323F"/>
    <w:rsid w:val="00E40090"/>
    <w:rsid w:val="00E54B2A"/>
    <w:rsid w:val="00EA7106"/>
    <w:rsid w:val="00EA717C"/>
    <w:rsid w:val="00ED209B"/>
    <w:rsid w:val="00EE395A"/>
    <w:rsid w:val="00F208EC"/>
    <w:rsid w:val="00F26119"/>
    <w:rsid w:val="00F34519"/>
    <w:rsid w:val="00F40554"/>
    <w:rsid w:val="00F679DE"/>
    <w:rsid w:val="00F867C4"/>
    <w:rsid w:val="00FA06B9"/>
    <w:rsid w:val="00FA6F1F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01E0E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8.png@01D5A07A.53390E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1.png@01D59ED9.7C221D4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rtia\Google%20Drive\Documents\2019%20Season%20Summaries\1_Portia\2019%20Citrus%20data%20and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Southern African Soft Citr</a:t>
            </a:r>
            <a:r>
              <a:rPr lang="en-ZA" sz="1200"/>
              <a:t>us Exports 15kg Cartons </a:t>
            </a:r>
            <a:endParaRPr lang="en-US" sz="1200"/>
          </a:p>
        </c:rich>
      </c:tx>
      <c:layout>
        <c:manualLayout>
          <c:xMode val="edge"/>
          <c:yMode val="edge"/>
          <c:x val="0.139836920384951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70224555263925"/>
          <c:y val="0.15349698934691988"/>
          <c:w val="0.8952606249833821"/>
          <c:h val="0.72332021363234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'Soft Citrus'!$B$18:$B$20</c:f>
              <c:strCache>
                <c:ptCount val="3"/>
                <c:pt idx="2">
                  <c:v>South Africa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943-4FD1-9B29-2B7707D3D577}"/>
              </c:ext>
            </c:extLst>
          </c:dPt>
          <c:dPt>
            <c:idx val="9"/>
            <c:invertIfNegative val="0"/>
            <c:bubble3D val="0"/>
            <c:spPr>
              <a:pattFill prst="dkUpDiag">
                <a:fgClr>
                  <a:schemeClr val="accent6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943-4FD1-9B29-2B7707D3D577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943-4FD1-9B29-2B7707D3D57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943-4FD1-9B29-2B7707D3D577}"/>
              </c:ext>
            </c:extLst>
          </c:dPt>
          <c:cat>
            <c:strRef>
              <c:f>'Soft Citrus'!$A$26:$A$36</c:f>
              <c:strCache>
                <c:ptCount val="10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 </c:v>
                </c:pt>
                <c:pt idx="4">
                  <c:v>2014 </c:v>
                </c:pt>
                <c:pt idx="5">
                  <c:v>2015 </c:v>
                </c:pt>
                <c:pt idx="6">
                  <c:v>2016 </c:v>
                </c:pt>
                <c:pt idx="7">
                  <c:v>2017 </c:v>
                </c:pt>
                <c:pt idx="8">
                  <c:v>2018 </c:v>
                </c:pt>
                <c:pt idx="9">
                  <c:v>2019</c:v>
                </c:pt>
              </c:strCache>
              <c:extLst/>
            </c:strRef>
          </c:cat>
          <c:val>
            <c:numRef>
              <c:f>'Soft Citrus'!$B$26:$B$36</c:f>
              <c:numCache>
                <c:formatCode>_ * #,##0_ ;_ * \-#,##0_ ;_ * "-"??_ ;_ @_ </c:formatCode>
                <c:ptCount val="10"/>
                <c:pt idx="0">
                  <c:v>7527519</c:v>
                </c:pt>
                <c:pt idx="1">
                  <c:v>6907855</c:v>
                </c:pt>
                <c:pt idx="2">
                  <c:v>7640712</c:v>
                </c:pt>
                <c:pt idx="3">
                  <c:v>8442205</c:v>
                </c:pt>
                <c:pt idx="4">
                  <c:v>9957944</c:v>
                </c:pt>
                <c:pt idx="5">
                  <c:v>9987703</c:v>
                </c:pt>
                <c:pt idx="6">
                  <c:v>12179202</c:v>
                </c:pt>
                <c:pt idx="7">
                  <c:v>13415452</c:v>
                </c:pt>
                <c:pt idx="8">
                  <c:v>16170974</c:v>
                </c:pt>
                <c:pt idx="9">
                  <c:v>18239153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6943-4FD1-9B29-2B7707D3D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734160"/>
        <c:axId val="554729064"/>
      </c:barChart>
      <c:catAx>
        <c:axId val="55473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729064"/>
        <c:crosses val="autoZero"/>
        <c:auto val="1"/>
        <c:lblAlgn val="ctr"/>
        <c:lblOffset val="100"/>
        <c:noMultiLvlLbl val="0"/>
      </c:catAx>
      <c:valAx>
        <c:axId val="55472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15kg Equivalent cartons</a:t>
                </a: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1.8239760550915216E-3"/>
              <c:y val="0.17861305809034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734160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4</cp:revision>
  <dcterms:created xsi:type="dcterms:W3CDTF">2019-11-22T14:22:00Z</dcterms:created>
  <dcterms:modified xsi:type="dcterms:W3CDTF">2019-11-25T06:33:00Z</dcterms:modified>
</cp:coreProperties>
</file>