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901D81" w:rsidTr="00042AFF">
        <w:trPr>
          <w:trHeight w:val="15677"/>
          <w:tblCellSpacing w:w="0" w:type="dxa"/>
        </w:trPr>
        <w:tc>
          <w:tcPr>
            <w:tcW w:w="104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284"/>
              <w:gridCol w:w="150"/>
            </w:tblGrid>
            <w:tr w:rsidR="00B416E0" w:rsidRPr="008C6E3A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Default="00B416E0" w:rsidP="00B416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 w:rsidRPr="005D3571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FROM THE DESK OF THE CEO</w:t>
                  </w:r>
                  <w:r w:rsidR="00906066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 xml:space="preserve"> (44</w:t>
                  </w: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/18)</w:t>
                  </w:r>
                </w:p>
                <w:p w:rsidR="00B416E0" w:rsidRPr="00753377" w:rsidRDefault="00B416E0" w:rsidP="00B416E0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</w:pPr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 xml:space="preserve">(Follow me on Twitter </w:t>
                  </w:r>
                  <w:proofErr w:type="spellStart"/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justchad_cga</w:t>
                  </w:r>
                  <w:proofErr w:type="spellEnd"/>
                  <w:r w:rsidR="00224E30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; just got follower number 1 000!!)</w:t>
                  </w:r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)</w:t>
                  </w:r>
                </w:p>
                <w:p w:rsidR="00B416E0" w:rsidRPr="003D3C19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sz w:val="2"/>
                      <w:szCs w:val="20"/>
                    </w:rPr>
                  </w:pPr>
                </w:p>
                <w:p w:rsidR="00B416E0" w:rsidRPr="00E36139" w:rsidRDefault="004F23C5" w:rsidP="00997E70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Justin Chadwick </w:t>
                  </w:r>
                  <w:r w:rsidR="004406C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2 November</w:t>
                  </w:r>
                  <w:r w:rsidR="00B416E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0909D1B3" wp14:editId="58BE742D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462622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61356E" w:rsidRPr="003955BE" w:rsidRDefault="0076072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</w:pPr>
                  <w:r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>“</w:t>
                  </w:r>
                  <w:r w:rsidR="003955BE"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 xml:space="preserve">If Twitter, </w:t>
                  </w:r>
                  <w:proofErr w:type="spellStart"/>
                  <w:r w:rsidR="003955BE"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>Youtube</w:t>
                  </w:r>
                  <w:proofErr w:type="spellEnd"/>
                  <w:r w:rsidR="003955BE" w:rsidRPr="003955BE">
                    <w:rPr>
                      <w:rFonts w:ascii="Arial" w:hAnsi="Arial" w:cs="Arial"/>
                      <w:b/>
                      <w:i/>
                      <w:color w:val="auto"/>
                      <w:sz w:val="19"/>
                      <w:szCs w:val="19"/>
                    </w:rPr>
                    <w:t>, and Google were part of my school subjects, my parents would be so proud of me” Anon</w:t>
                  </w:r>
                </w:p>
                <w:p w:rsidR="00887159" w:rsidRPr="00866911" w:rsidRDefault="00887159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auto"/>
                      <w:sz w:val="6"/>
                      <w:szCs w:val="6"/>
                    </w:rPr>
                  </w:pPr>
                </w:p>
                <w:p w:rsidR="00374DFC" w:rsidRPr="00042AFF" w:rsidRDefault="0070669E" w:rsidP="00042AFF">
                  <w:pPr>
                    <w:spacing w:after="0"/>
                    <w:ind w:right="262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2018 NAVEL</w:t>
                  </w:r>
                  <w:r w:rsidR="0076072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 SEASONAL REVIEW </w:t>
                  </w:r>
                </w:p>
                <w:p w:rsidR="009F6173" w:rsidRPr="00C04B4C" w:rsidRDefault="00462622" w:rsidP="00C71BA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6CE7">
                    <w:rPr>
                      <w:rFonts w:ascii="Arial" w:hAnsi="Arial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3459480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971800" cy="259080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2590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37A4" w:rsidRDefault="00462622" w:rsidP="00051A5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Keeping the trend going navel oranges also experienced a record export volume – at 26.6 million cartons just ahead of 2016 (26.2 m). </w:t>
                                        </w:r>
                                      </w:p>
                                      <w:p w:rsidR="00296CE7" w:rsidRPr="00C04B4C" w:rsidRDefault="00462622" w:rsidP="00051A5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This was just 4% over the </w:t>
                                        </w:r>
                                        <w:r w:rsidR="009337A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March estimate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. Before congratulating the Navel Focus Group, it is worth noting that there were big regional swings – Senwes remains the biggest region with 8.8 m cartons – a huge 34% over estimate, while Sundays River slipped to third largest region recording a 5.1 m carton export volume, 15% lower than estimate. It is Western Cape that took over second spot – their 6.1 m cartons almost spot on estimate. Patensie was 11% under estimate (3 m vs 3.4 m), while Nelspruit was 3% under est</w:t>
                                        </w:r>
                                        <w:r w:rsidR="009337A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mate (1.6 m vs 1.7m).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72.4pt;margin-top:6.7pt;width:234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4QHw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" stroked="f">
                            <v:textbox>
                              <w:txbxContent>
                                <w:p w:rsidR="009337A4" w:rsidRDefault="00462622" w:rsidP="00051A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Keeping the trend going navel oranges also experienced a record export volume – at 26.6 million cartons just ahead of 2016 (26.2 m). </w:t>
                                  </w:r>
                                </w:p>
                                <w:p w:rsidR="00296CE7" w:rsidRPr="00C04B4C" w:rsidRDefault="00462622" w:rsidP="00051A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This was just 4% over the </w:t>
                                  </w:r>
                                  <w:r w:rsidR="00933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March estimate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Before congratulating the Navel Focus Group, it is worth noting that there were big regional swings – Senwes remains the biggest region with 8.8 m cartons – a huge 34% over estimate, while Sundays River slipped to third largest region recording a 5.1 m carton export volume, 15% lower than estimate. It is Western Cape that took over second spot – their 6.1 m cartons almost spot on estimate. Patensie was 11% under estimate (3 m vs 3.4 m), while Nelspruit was 3% under est</w:t>
                                  </w:r>
                                  <w:r w:rsidR="00933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mate (1.6 m vs 1.7m).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2D98443" wp14:editId="76363356">
                        <wp:extent cx="3268980" cy="2689860"/>
                        <wp:effectExtent l="0" t="0" r="7620" b="15240"/>
                        <wp:docPr id="6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 w:rsidR="00296CE7">
                    <w:rPr>
                      <w:rFonts w:ascii="Arial" w:hAnsi="Arial" w:cs="Arial"/>
                    </w:rPr>
                    <w:t xml:space="preserve"> </w:t>
                  </w:r>
                </w:p>
                <w:p w:rsidR="00C04B4C" w:rsidRDefault="00E37169" w:rsidP="00042AF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 terms of regional distribution, a decrease in Europe (from 30% in 2017 to 26% in 2018) was taken up by Middle East (23% to 26%). Distribution to other regions did not differ materially </w:t>
                  </w:r>
                  <w:r w:rsidR="009337A4">
                    <w:rPr>
                      <w:rFonts w:ascii="Arial" w:hAnsi="Arial" w:cs="Arial"/>
                      <w:sz w:val="20"/>
                      <w:szCs w:val="20"/>
                    </w:rPr>
                    <w:t>from 2017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– South East Asia 18%, North America 15%, Russia and UK both 5% and Asia 3%.</w:t>
                  </w:r>
                </w:p>
                <w:p w:rsidR="00E37169" w:rsidRPr="00C04B4C" w:rsidRDefault="00E37169" w:rsidP="00042AF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with grapefruit and lemons, Netherlands remained the number one importer at 4.2 million cartons. They were followed by Saudi Arabia (2.9 m), UAE (2.5 m) and USA</w:t>
                  </w:r>
                  <w:r w:rsidR="00B01892">
                    <w:rPr>
                      <w:rFonts w:ascii="Arial" w:hAnsi="Arial" w:cs="Arial"/>
                      <w:sz w:val="20"/>
                      <w:szCs w:val="20"/>
                    </w:rPr>
                    <w:t xml:space="preserve"> (2.4 m). Making an appearance from nowhere at number five was China – rising from 0.8 m cartons in 2017 to 2 million cartons in 2018. </w:t>
                  </w:r>
                </w:p>
                <w:p w:rsidR="00397B29" w:rsidRPr="00397B29" w:rsidRDefault="00F40F01" w:rsidP="00042AFF">
                  <w:pPr>
                    <w:spacing w:after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SOUTHERN</w:t>
                  </w:r>
                  <w:r w:rsidR="00397B29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 AFRICAN CITRUS EXPORTS HIT 2 MILLION TONS</w:t>
                  </w:r>
                </w:p>
                <w:p w:rsidR="00F40F01" w:rsidRPr="00397B29" w:rsidRDefault="008C5E7D" w:rsidP="00042AFF">
                  <w:pPr>
                    <w:spacing w:after="0"/>
                    <w:rPr>
                      <w:rFonts w:ascii="Arial" w:eastAsia="Times New Roman" w:hAnsi="Arial" w:cs="Arial"/>
                      <w:color w:val="0070C0"/>
                      <w:lang w:val="en-US"/>
                    </w:rPr>
                  </w:pPr>
                  <w:r w:rsidRPr="008C5E7D">
                    <w:rPr>
                      <w:rFonts w:ascii="Arial" w:eastAsia="Times New Roman" w:hAnsi="Arial" w:cs="Arial"/>
                      <w:noProof/>
                      <w:color w:val="0070C0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3070860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406140" cy="1577340"/>
                            <wp:effectExtent l="0" t="0" r="3810" b="3810"/>
                            <wp:wrapSquare wrapText="bothSides"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06140" cy="1577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C5E7D" w:rsidRPr="008C5E7D" w:rsidRDefault="008C5E7D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C5E7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I can remember the citrus industry hitting 1 million tonnes of exports like it was yesterday – I was a member of a panel at a Southern Hemisphere Fruit Conference, and Chris White asked me whether this was a reason to celebrate or not. The answer </w:t>
                                        </w:r>
                                        <w:r w:rsidR="009337A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was </w:t>
                                        </w:r>
                                        <w:r w:rsidRPr="008C5E7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that it was both cause for celebration and concern; a growing industry was a good thing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from a production perspective, but if we failed to grow market demand at the same </w:t>
                                        </w:r>
                                        <w:r w:rsidR="009337A4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pace,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problems would arise.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id="_x0000_s1027" type="#_x0000_t202" style="position:absolute;margin-left:241.8pt;margin-top:2.6pt;width:268.2pt;height:1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" stroked="f">
                            <v:textbox>
                              <w:txbxContent>
                                <w:p w:rsidR="008C5E7D" w:rsidRPr="008C5E7D" w:rsidRDefault="008C5E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C5E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 can remember the citrus industry hitting 1 million tonnes of exports like it was yesterday – I was a member of a panel at a Southern Hemisphere Fruit Conference, and Chris White asked me whether this was a reason to celebrate or not. The answer </w:t>
                                  </w:r>
                                  <w:r w:rsidR="00933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was </w:t>
                                  </w:r>
                                  <w:r w:rsidRPr="008C5E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that it was both cause for celebration and concern; a growing industry was a good thing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from a production perspective, but if we failed to grow market demand at the same </w:t>
                                  </w:r>
                                  <w:r w:rsidR="009337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pace,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problems would arise.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397B29" w:rsidRPr="00397B29">
                    <w:rPr>
                      <w:rFonts w:ascii="Arial" w:eastAsia="Times New Roman" w:hAnsi="Arial" w:cs="Arial"/>
                      <w:noProof/>
                      <w:color w:val="0070C0"/>
                      <w:lang w:val="en-GB" w:eastAsia="en-GB"/>
                    </w:rPr>
                    <w:drawing>
                      <wp:inline distT="0" distB="0" distL="0" distR="0" wp14:anchorId="68F963BB">
                        <wp:extent cx="2917901" cy="166116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780" cy="1663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40F01" w:rsidRPr="00397B29">
                    <w:rPr>
                      <w:rFonts w:ascii="Arial" w:eastAsia="Times New Roman" w:hAnsi="Arial" w:cs="Arial"/>
                      <w:color w:val="0070C0"/>
                      <w:lang w:val="en-US"/>
                    </w:rPr>
                    <w:t xml:space="preserve"> </w:t>
                  </w:r>
                </w:p>
                <w:p w:rsidR="009337A4" w:rsidRPr="003561E6" w:rsidRDefault="008C5E7D" w:rsidP="00042AFF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The industry has now hit 2 million </w:t>
                  </w:r>
                  <w:proofErr w:type="spellStart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tonnes</w:t>
                  </w:r>
                  <w:proofErr w:type="spellEnd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, and the same sentiments exist. </w:t>
                  </w:r>
                </w:p>
                <w:p w:rsidR="008C5E7D" w:rsidRPr="003561E6" w:rsidRDefault="008C5E7D" w:rsidP="00042AFF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The pace of growth is speeding up; whereas it took </w:t>
                  </w:r>
                  <w:r w:rsidR="003561E6"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the first </w:t>
                  </w:r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60 years to reach 500 000 </w:t>
                  </w:r>
                  <w:proofErr w:type="spellStart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tonnes</w:t>
                  </w:r>
                  <w:proofErr w:type="spellEnd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, the next step to 1 million </w:t>
                  </w:r>
                  <w:proofErr w:type="spellStart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tonnes</w:t>
                  </w:r>
                  <w:proofErr w:type="spellEnd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took 31 years, and from 1 m to 1.5 took 12 years; the last 500 000 </w:t>
                  </w:r>
                  <w:proofErr w:type="spellStart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tonne</w:t>
                  </w:r>
                  <w:proofErr w:type="spellEnd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increase taking just 6 years (and forecasts show the next 500 000 </w:t>
                  </w:r>
                  <w:proofErr w:type="spellStart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tonnes</w:t>
                  </w:r>
                  <w:proofErr w:type="spellEnd"/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will take 3 years</w:t>
                  </w:r>
                  <w:r w:rsidR="003561E6"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)</w:t>
                  </w:r>
                  <w:r w:rsidRPr="003561E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  <w:p w:rsidR="00E52747" w:rsidRDefault="004406CE" w:rsidP="00042AFF">
                  <w:pPr>
                    <w:spacing w:after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CITRUS SHORT COURSE</w:t>
                  </w:r>
                </w:p>
                <w:p w:rsidR="001C164E" w:rsidRPr="008C5E7D" w:rsidRDefault="004406CE" w:rsidP="00C04B4C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69E">
                    <w:rPr>
                      <w:rFonts w:ascii="Arial" w:hAnsi="Arial" w:cs="Arial"/>
                      <w:sz w:val="20"/>
                      <w:szCs w:val="20"/>
                    </w:rPr>
                    <w:t xml:space="preserve">The Citrus Academy has added another Citrus Short Course workshop, taking place on 25-26 February 2019 at the Hoedspruit Hub. Please visit the Citrus Academy website to register and for more information: </w:t>
                  </w:r>
                  <w:hyperlink r:id="rId9" w:history="1">
                    <w:r w:rsidRPr="0070669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www.citrusacademy.org.za</w:t>
                    </w:r>
                  </w:hyperlink>
                </w:p>
              </w:tc>
            </w:tr>
            <w:tr w:rsidR="0098607D" w:rsidRPr="0032083B" w:rsidTr="00F80EB8">
              <w:trPr>
                <w:gridAfter w:val="1"/>
                <w:wAfter w:w="150" w:type="dxa"/>
                <w:trHeight w:val="35"/>
                <w:tblCellSpacing w:w="0" w:type="dxa"/>
              </w:trPr>
              <w:tc>
                <w:tcPr>
                  <w:tcW w:w="10632" w:type="dxa"/>
                  <w:gridSpan w:val="3"/>
                  <w:vAlign w:val="center"/>
                </w:tcPr>
                <w:p w:rsidR="0027430A" w:rsidRPr="00660466" w:rsidRDefault="00A072C8" w:rsidP="00515504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 w:rsidRPr="00C15730"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>PACKED AND SHIPPED</w:t>
                  </w:r>
                </w:p>
              </w:tc>
            </w:tr>
          </w:tbl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515504" w:rsidTr="000E0385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1F5769" w:rsidP="0051550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70C0"/>
                      <w:sz w:val="2"/>
                      <w:szCs w:val="2"/>
                      <w:u w:val="single"/>
                      <w:lang w:val="en-US"/>
                    </w:rPr>
                    <w:t xml:space="preserve"> </w:t>
                  </w:r>
                  <w:r w:rsidR="003561E6">
                    <w:rPr>
                      <w:rFonts w:ascii="Arial" w:hAnsi="Arial" w:cs="Arial"/>
                      <w:sz w:val="18"/>
                      <w:szCs w:val="18"/>
                    </w:rPr>
                    <w:t>To Week 43</w:t>
                  </w:r>
                </w:p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041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515504" w:rsidRDefault="00515504" w:rsidP="005041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15504" w:rsidTr="000E0385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CE2339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E2339">
                    <w:rPr>
                      <w:rFonts w:ascii="Arial" w:hAnsi="Arial" w:cs="Arial"/>
                      <w:b/>
                      <w:sz w:val="14"/>
                      <w:szCs w:val="14"/>
                    </w:rPr>
                    <w:t>SOURCE: PPECB/Agrihub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515504" w:rsidTr="000E0385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18.7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15.4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873118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18.1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691BEC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18.7 </w:t>
                  </w:r>
                  <w:r w:rsidR="00515504" w:rsidRPr="00691BEC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515504" w:rsidTr="000E0385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16.1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C65FD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15.8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691BEC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="006F54B0">
                    <w:rPr>
                      <w:rFonts w:ascii="Arial" w:hAnsi="Arial" w:cs="Arial"/>
                      <w:sz w:val="18"/>
                      <w:szCs w:val="18"/>
                    </w:rPr>
                    <w:t>.2</w:t>
                  </w:r>
                  <w:r w:rsidRPr="00691BEC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515504" w:rsidTr="000E0385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19.8</w:t>
                  </w:r>
                  <w:r w:rsidR="005F502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18.8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45197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A26EAA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19.9</w:t>
                  </w:r>
                  <w:r w:rsidR="00515504" w:rsidRPr="00A26EA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515504" w:rsidTr="000E0385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26.6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F502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21.2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4E66AA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26.6</w:t>
                  </w:r>
                  <w:r w:rsidR="00515504" w:rsidRPr="004E66A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515504" w:rsidTr="000E0385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2755F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</w:t>
                  </w:r>
                  <w:r w:rsidR="005F502A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441D6B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</w:t>
                  </w:r>
                  <w:r w:rsidR="005F502A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A32E34" w:rsidP="00A32E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52.6 </w:t>
                  </w:r>
                  <w:r w:rsidR="0045197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8F199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51.8 </w:t>
                  </w:r>
                  <w:r w:rsidR="0045197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4E66AA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54.1</w:t>
                  </w:r>
                  <w:r w:rsidR="00515504" w:rsidRPr="004E66AA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515504" w:rsidRPr="00464C33" w:rsidTr="000E0385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109.2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2755FB" w:rsidP="00633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123</w:t>
                  </w:r>
                  <w:r w:rsidR="005155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B56556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135</w:t>
                  </w:r>
                  <w:r w:rsidR="00441D6B">
                    <w:rPr>
                      <w:rFonts w:ascii="Arial" w:hAnsi="Arial" w:cs="Arial"/>
                      <w:b/>
                      <w:sz w:val="18"/>
                      <w:szCs w:val="18"/>
                    </w:rPr>
                    <w:t>.1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A32E3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121</w:t>
                  </w:r>
                  <w:r w:rsidR="0045197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8F199A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E66AA" w:rsidRDefault="00584A11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135.5</w:t>
                  </w:r>
                  <w:r w:rsidR="00B5655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</w:tbl>
          <w:p w:rsidR="00EE3882" w:rsidRPr="0060342B" w:rsidRDefault="00EE3882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F553C7" w:rsidRPr="003363E1" w:rsidRDefault="00E739BD" w:rsidP="00E739BD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Pr="009E35CC">
        <w:rPr>
          <w:rFonts w:ascii="Arial" w:hAnsi="Arial" w:cs="Arial"/>
          <w:b/>
          <w:color w:val="FF0000"/>
          <w:sz w:val="18"/>
          <w:szCs w:val="18"/>
        </w:rPr>
        <w:t xml:space="preserve">GA GROUP OF COMPANIES (CRI, RIVER BIOSCIENCE, XSIT, CGA CULTIVAR COMPANY, CGA </w:t>
      </w:r>
      <w:bookmarkStart w:id="0" w:name="_GoBack"/>
      <w:r w:rsidRPr="009E35CC">
        <w:rPr>
          <w:rFonts w:ascii="Arial" w:hAnsi="Arial" w:cs="Arial"/>
          <w:b/>
          <w:color w:val="FF0000"/>
          <w:sz w:val="18"/>
          <w:szCs w:val="18"/>
        </w:rPr>
        <w:t xml:space="preserve">GROWER </w:t>
      </w:r>
      <w:bookmarkEnd w:id="0"/>
      <w:r w:rsidRPr="009E35CC">
        <w:rPr>
          <w:rFonts w:ascii="Arial" w:hAnsi="Arial" w:cs="Arial"/>
          <w:b/>
          <w:color w:val="FF0000"/>
          <w:sz w:val="18"/>
          <w:szCs w:val="18"/>
        </w:rPr>
        <w:t>DEVELOPMENT COMPANY &amp; CITRUS ACADEMY) ARE FUNDED BY SOUTHERN AFRICAN CITRUS GROWERS</w:t>
      </w: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5.4pt;height:120.15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784"/>
    <w:rsid w:val="00007906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AFF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182D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4DFC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70FF"/>
    <w:rsid w:val="003B0339"/>
    <w:rsid w:val="003B0813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33C"/>
    <w:rsid w:val="00633577"/>
    <w:rsid w:val="0063397C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18B2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180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0EB8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rusacademy.org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8\Communication\Newsletter\GF%20and%20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Southern African Navel Exports</a:t>
            </a:r>
          </a:p>
          <a:p>
            <a:pPr>
              <a:defRPr/>
            </a:pPr>
            <a:r>
              <a:rPr lang="en-US"/>
              <a:t>15 Kg Cartons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Sheet1!$C$27</c:f>
              <c:strCache>
                <c:ptCount val="1"/>
                <c:pt idx="0">
                  <c:v>Cartons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pattFill prst="wdDnDiag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84-4FAE-8538-8266C680CB20}"/>
              </c:ext>
            </c:extLst>
          </c:dPt>
          <c:dPt>
            <c:idx val="9"/>
            <c:invertIfNegative val="0"/>
            <c:bubble3D val="0"/>
            <c:spPr>
              <a:pattFill prst="dkUpDiag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84-4FAE-8538-8266C680CB20}"/>
              </c:ext>
            </c:extLst>
          </c:dPt>
          <c:cat>
            <c:numRef>
              <c:f>Sheet1!$B$28:$B$37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Sheet1!$C$28:$C$37</c:f>
              <c:numCache>
                <c:formatCode>General</c:formatCode>
                <c:ptCount val="10"/>
                <c:pt idx="0">
                  <c:v>19.399999999999999</c:v>
                </c:pt>
                <c:pt idx="1">
                  <c:v>22.9</c:v>
                </c:pt>
                <c:pt idx="2">
                  <c:v>21.2</c:v>
                </c:pt>
                <c:pt idx="3">
                  <c:v>24.6</c:v>
                </c:pt>
                <c:pt idx="4">
                  <c:v>25.4</c:v>
                </c:pt>
                <c:pt idx="5">
                  <c:v>25.9</c:v>
                </c:pt>
                <c:pt idx="6">
                  <c:v>24.5</c:v>
                </c:pt>
                <c:pt idx="7">
                  <c:v>26.2</c:v>
                </c:pt>
                <c:pt idx="8">
                  <c:v>21.1</c:v>
                </c:pt>
                <c:pt idx="9">
                  <c:v>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84-4FAE-8538-8266C680C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379120"/>
        <c:axId val="323376768"/>
      </c:barChart>
      <c:catAx>
        <c:axId val="32337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376768"/>
        <c:crosses val="autoZero"/>
        <c:auto val="1"/>
        <c:lblAlgn val="ctr"/>
        <c:lblOffset val="100"/>
        <c:noMultiLvlLbl val="0"/>
      </c:catAx>
      <c:valAx>
        <c:axId val="323376768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 15 Kg cartons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37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1669-A978-45AC-9577-C06618C7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John</cp:lastModifiedBy>
  <cp:revision>2</cp:revision>
  <cp:lastPrinted>2018-11-02T11:05:00Z</cp:lastPrinted>
  <dcterms:created xsi:type="dcterms:W3CDTF">2018-11-02T12:06:00Z</dcterms:created>
  <dcterms:modified xsi:type="dcterms:W3CDTF">2018-11-02T12:06:00Z</dcterms:modified>
</cp:coreProperties>
</file>