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p w:rsidR="005A0E2E" w:rsidRPr="00F45A1E" w:rsidRDefault="005A0E2E" w:rsidP="00B26374">
            <w:pPr>
              <w:spacing w:after="0"/>
              <w:rPr>
                <w:rFonts w:ascii="Arial" w:eastAsia="Times New Roman" w:hAnsi="Arial" w:cs="Arial"/>
                <w:b/>
                <w:i/>
                <w:color w:val="181818"/>
                <w:sz w:val="4"/>
                <w:szCs w:val="6"/>
                <w:lang w:val="en-US"/>
              </w:rPr>
            </w:pPr>
          </w:p>
          <w:tbl>
            <w:tblPr>
              <w:tblpPr w:leftFromText="180" w:rightFromText="180" w:vertAnchor="text" w:horzAnchor="margin" w:tblpY="-201"/>
              <w:tblOverlap w:val="neve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B416E0" w:rsidRPr="008C6E3A" w:rsidTr="00B416E0">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9105C5">
                    <w:rPr>
                      <w:rFonts w:ascii="Comic Sans MS" w:hAnsi="Comic Sans MS"/>
                      <w:b/>
                      <w:i/>
                      <w:sz w:val="32"/>
                      <w:szCs w:val="32"/>
                    </w:rPr>
                    <w:t xml:space="preserve"> (33</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B416E0" w:rsidRPr="003D3C19" w:rsidRDefault="00B416E0" w:rsidP="00B416E0">
                  <w:pPr>
                    <w:spacing w:after="120" w:line="240" w:lineRule="auto"/>
                    <w:rPr>
                      <w:rFonts w:ascii="Comic Sans MS" w:hAnsi="Comic Sans MS"/>
                      <w:i/>
                      <w:sz w:val="2"/>
                      <w:szCs w:val="20"/>
                    </w:rPr>
                  </w:pPr>
                </w:p>
                <w:p w:rsidR="00B416E0" w:rsidRPr="003203E6" w:rsidRDefault="009105C5" w:rsidP="00B416E0">
                  <w:pPr>
                    <w:spacing w:after="120" w:line="240" w:lineRule="auto"/>
                  </w:pPr>
                  <w:r>
                    <w:rPr>
                      <w:rFonts w:ascii="Comic Sans MS" w:hAnsi="Comic Sans MS"/>
                      <w:i/>
                      <w:sz w:val="20"/>
                      <w:szCs w:val="20"/>
                    </w:rPr>
                    <w:t>Justin Chadwick 17</w:t>
                  </w:r>
                  <w:r w:rsidR="00B416E0">
                    <w:rPr>
                      <w:rFonts w:ascii="Comic Sans MS" w:hAnsi="Comic Sans MS"/>
                      <w:i/>
                      <w:sz w:val="20"/>
                      <w:szCs w:val="20"/>
                    </w:rPr>
                    <w:t xml:space="preserve"> August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662" w:type="dxa"/>
                  <w:shd w:val="clear" w:color="auto" w:fill="auto"/>
                </w:tcPr>
                <w:p w:rsidR="00B416E0" w:rsidRPr="00064F3C" w:rsidRDefault="00B416E0" w:rsidP="00B416E0">
                  <w:pPr>
                    <w:spacing w:after="0" w:line="240" w:lineRule="auto"/>
                    <w:ind w:right="-353"/>
                    <w:rPr>
                      <w:rFonts w:ascii="Comic Sans MS" w:hAnsi="Comic Sans MS"/>
                      <w:b/>
                      <w:i/>
                      <w:noProof/>
                      <w:sz w:val="32"/>
                      <w:szCs w:val="32"/>
                    </w:rPr>
                  </w:pPr>
                  <w:r>
                    <w:rPr>
                      <w:rFonts w:ascii="Comic Sans MS" w:hAnsi="Comic Sans MS"/>
                      <w:b/>
                      <w:i/>
                      <w:noProof/>
                      <w:sz w:val="32"/>
                      <w:szCs w:val="32"/>
                      <w:lang w:eastAsia="en-ZA"/>
                    </w:rPr>
                    <w:drawing>
                      <wp:anchor distT="0" distB="0" distL="114300" distR="114300" simplePos="0" relativeHeight="251659264" behindDoc="0" locked="0" layoutInCell="1" allowOverlap="1" wp14:anchorId="3F25E516" wp14:editId="2BD2408A">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B416E0" w:rsidRPr="0032083B" w:rsidTr="00B416E0">
              <w:trPr>
                <w:trHeight w:val="35"/>
                <w:tblCellSpacing w:w="0" w:type="dxa"/>
              </w:trPr>
              <w:tc>
                <w:tcPr>
                  <w:tcW w:w="10870" w:type="dxa"/>
                  <w:gridSpan w:val="3"/>
                  <w:vAlign w:val="center"/>
                  <w:hideMark/>
                </w:tcPr>
                <w:p w:rsidR="00B416E0" w:rsidRPr="0032083B" w:rsidRDefault="00B416E0" w:rsidP="00B416E0">
                  <w:pPr>
                    <w:pStyle w:val="NormalWeb"/>
                    <w:widowControl w:val="0"/>
                    <w:spacing w:before="0" w:beforeAutospacing="0" w:after="0" w:afterAutospacing="0"/>
                    <w:rPr>
                      <w:rFonts w:ascii="Arial" w:hAnsi="Arial" w:cs="Arial"/>
                      <w:b/>
                      <w:i/>
                      <w:color w:val="auto"/>
                    </w:rPr>
                  </w:pPr>
                </w:p>
              </w:tc>
            </w:tr>
          </w:tbl>
          <w:p w:rsidR="00C26B69" w:rsidRPr="00F45A1E" w:rsidRDefault="00C26B69" w:rsidP="00C26B69">
            <w:pPr>
              <w:spacing w:after="0"/>
              <w:rPr>
                <w:rFonts w:ascii="Arial" w:eastAsia="Times New Roman" w:hAnsi="Arial" w:cs="Arial"/>
                <w:b/>
                <w:i/>
                <w:color w:val="181818"/>
                <w:sz w:val="4"/>
                <w:szCs w:val="6"/>
                <w:lang w:val="en-US"/>
              </w:rPr>
            </w:pPr>
            <w:r>
              <w:rPr>
                <w:rStyle w:val="Emphasis"/>
                <w:rFonts w:ascii="Arial" w:hAnsi="Arial" w:cs="Arial"/>
                <w:b/>
                <w:sz w:val="20"/>
              </w:rPr>
              <w:t xml:space="preserve">“One machine can do the work of 50 ordinary men; but no machine can do the work of one extraordinary man” Elbert Hubbard </w:t>
            </w:r>
          </w:p>
          <w:p w:rsidR="00E739BD" w:rsidRDefault="00E739BD" w:rsidP="00F45A1E">
            <w:pPr>
              <w:spacing w:after="0"/>
              <w:jc w:val="both"/>
              <w:rPr>
                <w:rFonts w:ascii="Arial" w:eastAsia="Times New Roman" w:hAnsi="Arial" w:cs="Arial"/>
                <w:b/>
                <w:color w:val="0070C0"/>
                <w:u w:val="single"/>
                <w:lang w:val="en-US"/>
              </w:rPr>
            </w:pPr>
          </w:p>
          <w:p w:rsidR="004D4246" w:rsidRPr="001E3EC4" w:rsidRDefault="0060342B" w:rsidP="00F45A1E">
            <w:pPr>
              <w:spacing w:after="0"/>
              <w:jc w:val="both"/>
              <w:rPr>
                <w:rFonts w:ascii="Arial" w:eastAsia="Times New Roman" w:hAnsi="Arial" w:cs="Arial"/>
                <w:b/>
                <w:color w:val="0070C0"/>
                <w:sz w:val="24"/>
                <w:szCs w:val="24"/>
                <w:u w:val="single"/>
                <w:lang w:val="en-US"/>
              </w:rPr>
            </w:pPr>
            <w:r w:rsidRPr="001E3EC4">
              <w:rPr>
                <w:rFonts w:ascii="Arial" w:eastAsia="Times New Roman" w:hAnsi="Arial" w:cs="Arial"/>
                <w:b/>
                <w:color w:val="0070C0"/>
                <w:sz w:val="24"/>
                <w:szCs w:val="24"/>
                <w:u w:val="single"/>
                <w:lang w:val="en-US"/>
              </w:rPr>
              <w:t>PMA FRESH CONNECTIONS</w:t>
            </w:r>
          </w:p>
          <w:p w:rsidR="009105C5" w:rsidRPr="00C26B69" w:rsidRDefault="0060342B" w:rsidP="00026346">
            <w:pPr>
              <w:spacing w:after="0"/>
              <w:jc w:val="both"/>
              <w:rPr>
                <w:rFonts w:ascii="Arial" w:eastAsia="Times New Roman" w:hAnsi="Arial" w:cs="Arial"/>
                <w:color w:val="000000" w:themeColor="text1"/>
                <w:lang w:val="en-US"/>
              </w:rPr>
            </w:pPr>
            <w:r w:rsidRPr="00C26B69">
              <w:rPr>
                <w:rFonts w:ascii="Arial" w:eastAsia="Times New Roman" w:hAnsi="Arial" w:cs="Arial"/>
                <w:color w:val="000000" w:themeColor="text1"/>
                <w:lang w:val="en-US"/>
              </w:rPr>
              <w:t xml:space="preserve">This past week PMA held a very successful PMA Fresh Connections in Pretoria (congratulations Lindie and your team). One standout comment was that of Whitey Basson (Founder and retired CEO of Shoprite). He was speaking on the topic “Future of retail in Africa”. He said that his staff would often claim that there was a “gap in the market”; and his response would be “Yes, but is there a market in the gap”. </w:t>
            </w:r>
            <w:r w:rsidR="002A7854" w:rsidRPr="00C26B69">
              <w:rPr>
                <w:rFonts w:ascii="Arial" w:eastAsia="Times New Roman" w:hAnsi="Arial" w:cs="Arial"/>
                <w:color w:val="000000" w:themeColor="text1"/>
                <w:lang w:val="en-US"/>
              </w:rPr>
              <w:t>There is a lot of focus on Africa – a growing middle class, more connectivity through internet and smart phones, improving logistics and a growing population means that Africa is gaining attention of those with product to sell. Coupled with increasing technical barriers to trade in traditional markets, and rising fuel, transport and distribution costs makes Africa an attractive option for fresh produce exporters</w:t>
            </w:r>
            <w:r w:rsidR="004464AF">
              <w:rPr>
                <w:rFonts w:ascii="Arial" w:eastAsia="Times New Roman" w:hAnsi="Arial" w:cs="Arial"/>
                <w:color w:val="000000" w:themeColor="text1"/>
                <w:lang w:val="en-US"/>
              </w:rPr>
              <w:t xml:space="preserve"> in the south of the continent</w:t>
            </w:r>
            <w:r w:rsidR="002A7854" w:rsidRPr="00C26B69">
              <w:rPr>
                <w:rFonts w:ascii="Arial" w:eastAsia="Times New Roman" w:hAnsi="Arial" w:cs="Arial"/>
                <w:color w:val="000000" w:themeColor="text1"/>
                <w:lang w:val="en-US"/>
              </w:rPr>
              <w:t xml:space="preserve">. These opportunities were highlighted by a number of speakers, and should not be discounted. However, Mr Basson suggested caution in approaching these markets – they may not deliver on the expectations. For the southern African citrus industry product is well received in the SADEC region – but southern Africa only represents 9% of the African population. East Africa </w:t>
            </w:r>
            <w:r w:rsidR="001E3EC4" w:rsidRPr="00C26B69">
              <w:rPr>
                <w:rFonts w:ascii="Arial" w:eastAsia="Times New Roman" w:hAnsi="Arial" w:cs="Arial"/>
                <w:color w:val="000000" w:themeColor="text1"/>
                <w:lang w:val="en-US"/>
              </w:rPr>
              <w:t xml:space="preserve">is the largest region in terms of population (38%) – and the study conducted by NAMC and Dr Mashaba indicate some opportunities for fresh fruit into this region (and one retailer mentioned Kenya as the next country for expanded store roll out). The </w:t>
            </w:r>
            <w:r w:rsidR="00BC64FA" w:rsidRPr="00C26B69">
              <w:rPr>
                <w:rFonts w:ascii="Arial" w:eastAsia="Times New Roman" w:hAnsi="Arial" w:cs="Arial"/>
                <w:color w:val="000000" w:themeColor="text1"/>
                <w:lang w:val="en-US"/>
              </w:rPr>
              <w:t>above-mentioned</w:t>
            </w:r>
            <w:r w:rsidR="001E3EC4" w:rsidRPr="00C26B69">
              <w:rPr>
                <w:rFonts w:ascii="Arial" w:eastAsia="Times New Roman" w:hAnsi="Arial" w:cs="Arial"/>
                <w:color w:val="000000" w:themeColor="text1"/>
                <w:lang w:val="en-US"/>
              </w:rPr>
              <w:t xml:space="preserve"> study indicated that West Africa held a lot of promise for fresh fruit – and with 23% of the population the gap may be there. South African apples have already pioneered market access into this region. </w:t>
            </w:r>
          </w:p>
          <w:p w:rsidR="001E3EC4" w:rsidRPr="00C26B69" w:rsidRDefault="001E3EC4" w:rsidP="00026346">
            <w:pPr>
              <w:spacing w:after="0"/>
              <w:jc w:val="both"/>
              <w:rPr>
                <w:rFonts w:ascii="Arial" w:eastAsia="Times New Roman" w:hAnsi="Arial" w:cs="Arial"/>
                <w:color w:val="000000" w:themeColor="text1"/>
                <w:lang w:val="en-US"/>
              </w:rPr>
            </w:pPr>
            <w:r w:rsidRPr="00C26B69">
              <w:rPr>
                <w:rFonts w:ascii="Arial" w:eastAsia="Times New Roman" w:hAnsi="Arial" w:cs="Arial"/>
                <w:color w:val="000000" w:themeColor="text1"/>
                <w:lang w:val="en-US"/>
              </w:rPr>
              <w:t xml:space="preserve">Another point highlighted by the speakers was the rapid urbanization in Africa – from 25% in 1980 to 40% in 2014 (Nigeria is at 50%). This means a lot more </w:t>
            </w:r>
            <w:r w:rsidR="004464AF">
              <w:rPr>
                <w:rFonts w:ascii="Arial" w:eastAsia="Times New Roman" w:hAnsi="Arial" w:cs="Arial"/>
                <w:color w:val="000000" w:themeColor="text1"/>
                <w:lang w:val="en-US"/>
              </w:rPr>
              <w:t>consumers concentrated in a smaller geographic location,</w:t>
            </w:r>
            <w:r w:rsidRPr="00C26B69">
              <w:rPr>
                <w:rFonts w:ascii="Arial" w:eastAsia="Times New Roman" w:hAnsi="Arial" w:cs="Arial"/>
                <w:color w:val="000000" w:themeColor="text1"/>
                <w:lang w:val="en-US"/>
              </w:rPr>
              <w:t xml:space="preserve"> purchasing fruit at various points (informal and formal markets). </w:t>
            </w:r>
          </w:p>
          <w:p w:rsidR="00C26B69" w:rsidRPr="00C26B69" w:rsidRDefault="004464AF" w:rsidP="00026346">
            <w:pPr>
              <w:spacing w:after="0"/>
              <w:jc w:val="both"/>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A third factor </w:t>
            </w:r>
            <w:r w:rsidR="00C26B69" w:rsidRPr="00C26B69">
              <w:rPr>
                <w:rFonts w:ascii="Arial" w:eastAsia="Times New Roman" w:hAnsi="Arial" w:cs="Arial"/>
                <w:color w:val="000000" w:themeColor="text1"/>
                <w:lang w:val="en-US"/>
              </w:rPr>
              <w:t>gaining attention of retailers and fresh produce marketers is the changing taste and behavio</w:t>
            </w:r>
            <w:r w:rsidR="00EF6F61">
              <w:rPr>
                <w:rFonts w:ascii="Arial" w:eastAsia="Times New Roman" w:hAnsi="Arial" w:cs="Arial"/>
                <w:color w:val="000000" w:themeColor="text1"/>
                <w:lang w:val="en-US"/>
              </w:rPr>
              <w:t>u</w:t>
            </w:r>
            <w:bookmarkStart w:id="0" w:name="_GoBack"/>
            <w:bookmarkEnd w:id="0"/>
            <w:r w:rsidR="00C26B69" w:rsidRPr="00C26B69">
              <w:rPr>
                <w:rFonts w:ascii="Arial" w:eastAsia="Times New Roman" w:hAnsi="Arial" w:cs="Arial"/>
                <w:color w:val="000000" w:themeColor="text1"/>
                <w:lang w:val="en-US"/>
              </w:rPr>
              <w:t xml:space="preserve">r of consumers. More and more consumers are becoming interested in the look and provenance of the food they consume – “they eat with their eyes and their touch”. This aspect of the “story” behind your product was highlighted in other discussions – consumers want to know what your product represents; was it produced in an environmentally sound manner, was it produced in a manner that treated workers fairly and with dignity, is it safe and healthy. </w:t>
            </w:r>
          </w:p>
          <w:p w:rsidR="00C26B69" w:rsidRPr="00C26B69" w:rsidRDefault="00C26B69" w:rsidP="00026346">
            <w:pPr>
              <w:spacing w:after="0"/>
              <w:jc w:val="both"/>
              <w:rPr>
                <w:rFonts w:ascii="Arial" w:eastAsia="Times New Roman" w:hAnsi="Arial" w:cs="Arial"/>
                <w:color w:val="000000" w:themeColor="text1"/>
                <w:lang w:val="en-US"/>
              </w:rPr>
            </w:pPr>
            <w:r w:rsidRPr="00C26B69">
              <w:rPr>
                <w:rFonts w:ascii="Arial" w:eastAsia="Times New Roman" w:hAnsi="Arial" w:cs="Arial"/>
                <w:color w:val="000000" w:themeColor="text1"/>
                <w:lang w:val="en-US"/>
              </w:rPr>
              <w:t>The rest of Africa hold great promise for citrus exporters at the southern tip of the continent; but make sure that there is a “market in the gap”.</w:t>
            </w:r>
          </w:p>
          <w:p w:rsidR="00C14DA8" w:rsidRPr="00C26B69" w:rsidRDefault="00C14DA8" w:rsidP="00C14DA8">
            <w:pPr>
              <w:spacing w:after="0"/>
              <w:jc w:val="both"/>
              <w:rPr>
                <w:rFonts w:ascii="Arial" w:eastAsia="Times New Roman" w:hAnsi="Arial" w:cs="Arial"/>
                <w:b/>
                <w:color w:val="0070C0"/>
                <w:u w:val="single"/>
                <w:lang w:val="en-US"/>
              </w:rPr>
            </w:pPr>
            <w:r w:rsidRPr="00C26B69">
              <w:rPr>
                <w:rFonts w:ascii="Arial" w:eastAsia="Times New Roman" w:hAnsi="Arial" w:cs="Arial"/>
                <w:b/>
                <w:color w:val="0070C0"/>
                <w:u w:val="single"/>
                <w:lang w:val="en-US"/>
              </w:rPr>
              <w:t>PACKED AND SHIPPED</w:t>
            </w:r>
          </w:p>
          <w:p w:rsidR="009105C5" w:rsidRPr="00C26B69" w:rsidRDefault="00C14DA8" w:rsidP="00026346">
            <w:pPr>
              <w:spacing w:after="0"/>
              <w:jc w:val="both"/>
              <w:rPr>
                <w:rFonts w:ascii="Arial" w:eastAsia="Times New Roman" w:hAnsi="Arial" w:cs="Arial"/>
                <w:color w:val="000000" w:themeColor="text1"/>
                <w:lang w:val="en-US"/>
              </w:rPr>
            </w:pPr>
            <w:r w:rsidRPr="00C26B69">
              <w:rPr>
                <w:rFonts w:ascii="Arial" w:eastAsia="Times New Roman" w:hAnsi="Arial" w:cs="Arial"/>
                <w:color w:val="000000" w:themeColor="text1"/>
                <w:lang w:val="en-US"/>
              </w:rPr>
              <w:t>As the grapefruit seasons unfolds, the Grapefruit Focus Group have once again increased their predict</w:t>
            </w:r>
            <w:r w:rsidR="0060342B" w:rsidRPr="00C26B69">
              <w:rPr>
                <w:rFonts w:ascii="Arial" w:eastAsia="Times New Roman" w:hAnsi="Arial" w:cs="Arial"/>
                <w:color w:val="000000" w:themeColor="text1"/>
                <w:lang w:val="en-US"/>
              </w:rPr>
              <w:t>ion (from</w:t>
            </w:r>
            <w:r w:rsidRPr="00C26B69">
              <w:rPr>
                <w:rFonts w:ascii="Arial" w:eastAsia="Times New Roman" w:hAnsi="Arial" w:cs="Arial"/>
                <w:color w:val="000000" w:themeColor="text1"/>
                <w:lang w:val="en-US"/>
              </w:rPr>
              <w:t xml:space="preserve"> 17.9 m to 18.6 m); almost an additional 2 m cartons over the original estimate (10.7%). </w:t>
            </w:r>
            <w:r w:rsidR="0060342B" w:rsidRPr="00C26B69">
              <w:rPr>
                <w:rFonts w:ascii="Arial" w:eastAsia="Times New Roman" w:hAnsi="Arial" w:cs="Arial"/>
                <w:color w:val="000000" w:themeColor="text1"/>
                <w:lang w:val="en-US"/>
              </w:rPr>
              <w:t>With soft citrus now moving to late mandarins, the Soft Citrus Focus Group also increased their prediction from 16.6 m to 17 m; just over 2 m cartons higher than originally estimated (16%). There were slight adjustments to the orange predictions; navels up from 25.3 to 25.4 m, and Valencia down from 51.7 m to 51.3 m. Overall the predicted volume is still tracking the original estimate of about 132 million cartons (1 980 000 tons).</w:t>
            </w:r>
          </w:p>
          <w:tbl>
            <w:tblPr>
              <w:tblpPr w:leftFromText="180" w:rightFromText="180" w:vertAnchor="text" w:horzAnchor="margin" w:tblpY="412"/>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E739BD" w:rsidTr="00E739BD">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9105C5" w:rsidP="00E739BD">
                  <w:pPr>
                    <w:spacing w:after="0" w:line="240" w:lineRule="auto"/>
                    <w:ind w:left="337" w:hanging="337"/>
                    <w:rPr>
                      <w:rFonts w:ascii="Arial" w:hAnsi="Arial" w:cs="Arial"/>
                      <w:sz w:val="18"/>
                      <w:szCs w:val="18"/>
                    </w:rPr>
                  </w:pPr>
                  <w:bookmarkStart w:id="1" w:name="OLE_LINK1"/>
                  <w:bookmarkStart w:id="2" w:name="OLE_LINK2"/>
                  <w:r>
                    <w:rPr>
                      <w:rFonts w:ascii="Arial" w:hAnsi="Arial" w:cs="Arial"/>
                      <w:sz w:val="18"/>
                      <w:szCs w:val="18"/>
                    </w:rPr>
                    <w:t>To Week 32</w:t>
                  </w:r>
                </w:p>
                <w:p w:rsidR="00E739BD" w:rsidRDefault="00E739BD" w:rsidP="00E739BD">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Latest</w:t>
                  </w:r>
                </w:p>
                <w:p w:rsidR="00E739BD" w:rsidRDefault="00E739BD" w:rsidP="00E739BD">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Final Packed</w:t>
                  </w:r>
                </w:p>
                <w:p w:rsidR="00E739BD" w:rsidRDefault="00E739BD" w:rsidP="00E739BD">
                  <w:pPr>
                    <w:spacing w:after="0" w:line="240" w:lineRule="auto"/>
                    <w:jc w:val="right"/>
                    <w:rPr>
                      <w:rFonts w:ascii="Arial" w:hAnsi="Arial" w:cs="Arial"/>
                      <w:sz w:val="18"/>
                      <w:szCs w:val="18"/>
                    </w:rPr>
                  </w:pPr>
                </w:p>
              </w:tc>
            </w:tr>
            <w:tr w:rsidR="00E739BD" w:rsidTr="00E739B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b/>
                      <w:sz w:val="18"/>
                      <w:szCs w:val="18"/>
                    </w:rPr>
                  </w:pPr>
                  <w:r>
                    <w:rPr>
                      <w:rFonts w:ascii="Arial" w:hAnsi="Arial" w:cs="Arial"/>
                      <w:b/>
                      <w:sz w:val="18"/>
                      <w:szCs w:val="18"/>
                    </w:rPr>
                    <w:t>SOURCE: PPECB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center"/>
                    <w:rPr>
                      <w:rFonts w:ascii="Arial" w:hAnsi="Arial" w:cs="Arial"/>
                      <w:sz w:val="18"/>
                      <w:szCs w:val="18"/>
                    </w:rPr>
                  </w:pPr>
                  <w:r>
                    <w:rPr>
                      <w:rFonts w:ascii="Arial" w:hAnsi="Arial" w:cs="Arial"/>
                      <w:sz w:val="18"/>
                      <w:szCs w:val="18"/>
                    </w:rPr>
                    <w:t>2017</w:t>
                  </w:r>
                </w:p>
              </w:tc>
            </w:tr>
            <w:tr w:rsidR="00E739BD" w:rsidTr="00E739BD">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13.2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15.2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17.9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13.4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16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105C5" w:rsidRDefault="009105C5" w:rsidP="00E739BD">
                  <w:pPr>
                    <w:spacing w:after="0" w:line="240" w:lineRule="auto"/>
                    <w:jc w:val="center"/>
                    <w:rPr>
                      <w:rFonts w:ascii="Arial" w:hAnsi="Arial" w:cs="Arial"/>
                      <w:b/>
                      <w:sz w:val="18"/>
                      <w:szCs w:val="18"/>
                    </w:rPr>
                  </w:pPr>
                  <w:r>
                    <w:rPr>
                      <w:rFonts w:ascii="Arial" w:hAnsi="Arial" w:cs="Arial"/>
                      <w:b/>
                      <w:color w:val="FF0000"/>
                      <w:sz w:val="18"/>
                      <w:szCs w:val="18"/>
                    </w:rPr>
                    <w:t>18.6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15.7 m</w:t>
                  </w:r>
                </w:p>
              </w:tc>
            </w:tr>
            <w:tr w:rsidR="00E739BD" w:rsidTr="00E739B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10.6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11.4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13.5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10.2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12.2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105C5" w:rsidRDefault="009105C5" w:rsidP="00E739BD">
                  <w:pPr>
                    <w:spacing w:after="0" w:line="240" w:lineRule="auto"/>
                    <w:jc w:val="center"/>
                    <w:rPr>
                      <w:rFonts w:ascii="Arial" w:hAnsi="Arial" w:cs="Arial"/>
                      <w:b/>
                      <w:sz w:val="18"/>
                      <w:szCs w:val="18"/>
                    </w:rPr>
                  </w:pPr>
                  <w:r>
                    <w:rPr>
                      <w:rFonts w:ascii="Arial" w:hAnsi="Arial" w:cs="Arial"/>
                      <w:b/>
                      <w:color w:val="FF0000"/>
                      <w:sz w:val="18"/>
                      <w:szCs w:val="18"/>
                    </w:rPr>
                    <w:t>17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13.4 m</w:t>
                  </w:r>
                </w:p>
              </w:tc>
            </w:tr>
            <w:tr w:rsidR="00E739BD" w:rsidTr="00E739BD">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lang w:val="fr-FR"/>
                    </w:rPr>
                  </w:pPr>
                  <w:r>
                    <w:rPr>
                      <w:rFonts w:ascii="Arial" w:hAnsi="Arial" w:cs="Arial"/>
                      <w:sz w:val="18"/>
                      <w:szCs w:val="18"/>
                      <w:lang w:val="fr-FR"/>
                    </w:rPr>
                    <w:t>Lemons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9105C5" w:rsidP="00E739BD">
                  <w:pPr>
                    <w:spacing w:after="0" w:line="240" w:lineRule="auto"/>
                    <w:jc w:val="center"/>
                    <w:rPr>
                      <w:rFonts w:ascii="Arial" w:hAnsi="Arial" w:cs="Arial"/>
                      <w:sz w:val="18"/>
                      <w:szCs w:val="18"/>
                      <w:lang w:val="fr-FR"/>
                    </w:rPr>
                  </w:pPr>
                  <w:r>
                    <w:rPr>
                      <w:rFonts w:ascii="Arial" w:hAnsi="Arial" w:cs="Arial"/>
                      <w:sz w:val="18"/>
                      <w:szCs w:val="18"/>
                      <w:lang w:val="fr-FR"/>
                    </w:rPr>
                    <w:t>13.8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9105C5" w:rsidP="00E739BD">
                  <w:pPr>
                    <w:spacing w:after="0" w:line="240" w:lineRule="auto"/>
                    <w:jc w:val="center"/>
                    <w:rPr>
                      <w:rFonts w:ascii="Arial" w:hAnsi="Arial" w:cs="Arial"/>
                      <w:sz w:val="18"/>
                      <w:szCs w:val="18"/>
                      <w:lang w:val="fr-FR"/>
                    </w:rPr>
                  </w:pPr>
                  <w:r>
                    <w:rPr>
                      <w:rFonts w:ascii="Arial" w:hAnsi="Arial" w:cs="Arial"/>
                      <w:sz w:val="18"/>
                      <w:szCs w:val="18"/>
                      <w:lang w:val="fr-FR"/>
                    </w:rPr>
                    <w:t>17.7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9105C5" w:rsidP="003C2024">
                  <w:pPr>
                    <w:spacing w:after="0" w:line="240" w:lineRule="auto"/>
                    <w:jc w:val="center"/>
                    <w:rPr>
                      <w:rFonts w:ascii="Arial" w:hAnsi="Arial" w:cs="Arial"/>
                      <w:sz w:val="18"/>
                      <w:szCs w:val="18"/>
                      <w:lang w:val="fr-FR"/>
                    </w:rPr>
                  </w:pPr>
                  <w:r>
                    <w:rPr>
                      <w:rFonts w:ascii="Arial" w:hAnsi="Arial" w:cs="Arial"/>
                      <w:sz w:val="18"/>
                      <w:szCs w:val="18"/>
                      <w:lang w:val="fr-FR"/>
                    </w:rPr>
                    <w:t>17.2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lang w:val="fr-FR"/>
                    </w:rPr>
                  </w:pPr>
                  <w:r>
                    <w:rPr>
                      <w:rFonts w:ascii="Arial" w:hAnsi="Arial" w:cs="Arial"/>
                      <w:sz w:val="18"/>
                      <w:szCs w:val="18"/>
                      <w:lang w:val="fr-FR"/>
                    </w:rPr>
                    <w:t>16.8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lang w:val="fr-FR"/>
                    </w:rPr>
                  </w:pPr>
                  <w:r>
                    <w:rPr>
                      <w:rFonts w:ascii="Arial" w:hAnsi="Arial" w:cs="Arial"/>
                      <w:sz w:val="18"/>
                      <w:szCs w:val="18"/>
                      <w:lang w:val="fr-FR"/>
                    </w:rPr>
                    <w:t>16.1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A26EAA" w:rsidRDefault="00E739BD" w:rsidP="00E739BD">
                  <w:pPr>
                    <w:spacing w:after="0" w:line="240" w:lineRule="auto"/>
                    <w:jc w:val="center"/>
                    <w:rPr>
                      <w:rFonts w:ascii="Arial" w:hAnsi="Arial" w:cs="Arial"/>
                      <w:sz w:val="18"/>
                      <w:szCs w:val="18"/>
                      <w:lang w:val="fr-FR"/>
                    </w:rPr>
                  </w:pPr>
                  <w:r w:rsidRPr="00A26EAA">
                    <w:rPr>
                      <w:rFonts w:ascii="Arial" w:hAnsi="Arial" w:cs="Arial"/>
                      <w:sz w:val="18"/>
                      <w:szCs w:val="18"/>
                      <w:lang w:val="fr-FR"/>
                    </w:rPr>
                    <w:t>19.9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E739BD" w:rsidTr="00E739B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9105C5" w:rsidP="005307C3">
                  <w:pPr>
                    <w:spacing w:after="0" w:line="240" w:lineRule="auto"/>
                    <w:jc w:val="center"/>
                    <w:rPr>
                      <w:rFonts w:ascii="Arial" w:hAnsi="Arial" w:cs="Arial"/>
                      <w:sz w:val="18"/>
                      <w:szCs w:val="18"/>
                      <w:lang w:val="fr-FR"/>
                    </w:rPr>
                  </w:pPr>
                  <w:r>
                    <w:rPr>
                      <w:rFonts w:ascii="Arial" w:hAnsi="Arial" w:cs="Arial"/>
                      <w:sz w:val="18"/>
                      <w:szCs w:val="18"/>
                      <w:lang w:val="fr-FR"/>
                    </w:rPr>
                    <w:t>24.7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9105C5" w:rsidP="00E739BD">
                  <w:pPr>
                    <w:spacing w:after="0" w:line="240" w:lineRule="auto"/>
                    <w:jc w:val="center"/>
                    <w:rPr>
                      <w:rFonts w:ascii="Arial" w:hAnsi="Arial" w:cs="Arial"/>
                      <w:sz w:val="18"/>
                      <w:szCs w:val="18"/>
                      <w:lang w:val="fr-FR"/>
                    </w:rPr>
                  </w:pPr>
                  <w:r>
                    <w:rPr>
                      <w:rFonts w:ascii="Arial" w:hAnsi="Arial" w:cs="Arial"/>
                      <w:sz w:val="18"/>
                      <w:szCs w:val="18"/>
                      <w:lang w:val="fr-FR"/>
                    </w:rPr>
                    <w:t>20.1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9105C5" w:rsidP="00E739BD">
                  <w:pPr>
                    <w:spacing w:after="0" w:line="240" w:lineRule="auto"/>
                    <w:jc w:val="center"/>
                    <w:rPr>
                      <w:rFonts w:ascii="Arial" w:hAnsi="Arial" w:cs="Arial"/>
                      <w:sz w:val="18"/>
                      <w:szCs w:val="18"/>
                      <w:lang w:val="fr-FR"/>
                    </w:rPr>
                  </w:pPr>
                  <w:r>
                    <w:rPr>
                      <w:rFonts w:ascii="Arial" w:hAnsi="Arial" w:cs="Arial"/>
                      <w:sz w:val="18"/>
                      <w:szCs w:val="18"/>
                      <w:lang w:val="fr-FR"/>
                    </w:rPr>
                    <w:t>24.7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lang w:val="fr-FR"/>
                    </w:rPr>
                  </w:pPr>
                  <w:r>
                    <w:rPr>
                      <w:rFonts w:ascii="Arial" w:hAnsi="Arial" w:cs="Arial"/>
                      <w:sz w:val="18"/>
                      <w:szCs w:val="18"/>
                      <w:lang w:val="fr-FR"/>
                    </w:rPr>
                    <w:t>18.9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lang w:val="fr-FR"/>
                    </w:rPr>
                  </w:pPr>
                  <w:r>
                    <w:rPr>
                      <w:rFonts w:ascii="Arial" w:hAnsi="Arial" w:cs="Arial"/>
                      <w:sz w:val="18"/>
                      <w:szCs w:val="18"/>
                      <w:lang w:val="fr-FR"/>
                    </w:rPr>
                    <w:t>22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105C5" w:rsidRDefault="009105C5" w:rsidP="00E739BD">
                  <w:pPr>
                    <w:spacing w:after="0" w:line="240" w:lineRule="auto"/>
                    <w:jc w:val="center"/>
                    <w:rPr>
                      <w:rFonts w:ascii="Arial" w:hAnsi="Arial" w:cs="Arial"/>
                      <w:b/>
                      <w:sz w:val="18"/>
                      <w:szCs w:val="18"/>
                      <w:lang w:val="fr-FR"/>
                    </w:rPr>
                  </w:pPr>
                  <w:r w:rsidRPr="009105C5">
                    <w:rPr>
                      <w:rFonts w:ascii="Arial" w:hAnsi="Arial" w:cs="Arial"/>
                      <w:b/>
                      <w:color w:val="FF0000"/>
                      <w:sz w:val="18"/>
                      <w:szCs w:val="18"/>
                      <w:lang w:val="fr-FR"/>
                    </w:rPr>
                    <w:t>25.4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E739BD" w:rsidTr="00E739BD">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E739BD" w:rsidRDefault="00E739BD" w:rsidP="00E739BD">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21.9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28.1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22.1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Default="009105C5" w:rsidP="00E739BD">
                  <w:pPr>
                    <w:spacing w:after="0" w:line="240" w:lineRule="auto"/>
                    <w:jc w:val="center"/>
                    <w:rPr>
                      <w:rFonts w:ascii="Arial" w:hAnsi="Arial" w:cs="Arial"/>
                      <w:sz w:val="18"/>
                      <w:szCs w:val="18"/>
                    </w:rPr>
                  </w:pPr>
                  <w:r>
                    <w:rPr>
                      <w:rFonts w:ascii="Arial" w:hAnsi="Arial" w:cs="Arial"/>
                      <w:sz w:val="18"/>
                      <w:szCs w:val="18"/>
                    </w:rPr>
                    <w:t>13.1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105C5" w:rsidRDefault="009105C5" w:rsidP="00E739BD">
                  <w:pPr>
                    <w:spacing w:after="0" w:line="240" w:lineRule="auto"/>
                    <w:jc w:val="center"/>
                    <w:rPr>
                      <w:rFonts w:ascii="Arial" w:hAnsi="Arial" w:cs="Arial"/>
                      <w:b/>
                      <w:sz w:val="18"/>
                      <w:szCs w:val="18"/>
                    </w:rPr>
                  </w:pPr>
                  <w:r>
                    <w:rPr>
                      <w:rFonts w:ascii="Arial" w:hAnsi="Arial" w:cs="Arial"/>
                      <w:b/>
                      <w:color w:val="FF0000"/>
                      <w:sz w:val="18"/>
                      <w:szCs w:val="18"/>
                    </w:rPr>
                    <w:t>51.3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Default="00E739BD" w:rsidP="00E739BD">
                  <w:pPr>
                    <w:spacing w:after="0" w:line="240" w:lineRule="auto"/>
                    <w:jc w:val="right"/>
                    <w:rPr>
                      <w:rFonts w:ascii="Arial" w:hAnsi="Arial" w:cs="Arial"/>
                      <w:sz w:val="18"/>
                      <w:szCs w:val="18"/>
                    </w:rPr>
                  </w:pPr>
                  <w:r>
                    <w:rPr>
                      <w:rFonts w:ascii="Arial" w:hAnsi="Arial" w:cs="Arial"/>
                      <w:sz w:val="18"/>
                      <w:szCs w:val="18"/>
                    </w:rPr>
                    <w:t>53.8 m</w:t>
                  </w:r>
                </w:p>
              </w:tc>
            </w:tr>
            <w:tr w:rsidR="00E739BD" w:rsidTr="00E739BD">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464C33" w:rsidRDefault="00E739BD" w:rsidP="00E739BD">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464C33" w:rsidRDefault="009105C5" w:rsidP="00E739BD">
                  <w:pPr>
                    <w:spacing w:after="0" w:line="240" w:lineRule="auto"/>
                    <w:jc w:val="center"/>
                    <w:rPr>
                      <w:rFonts w:ascii="Arial" w:hAnsi="Arial" w:cs="Arial"/>
                      <w:b/>
                      <w:sz w:val="18"/>
                      <w:szCs w:val="18"/>
                    </w:rPr>
                  </w:pPr>
                  <w:r>
                    <w:rPr>
                      <w:rFonts w:ascii="Arial" w:hAnsi="Arial" w:cs="Arial"/>
                      <w:b/>
                      <w:sz w:val="18"/>
                      <w:szCs w:val="18"/>
                    </w:rPr>
                    <w:t>84.2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E739BD" w:rsidRPr="00464C33" w:rsidRDefault="009105C5" w:rsidP="00E739BD">
                  <w:pPr>
                    <w:spacing w:after="0" w:line="240" w:lineRule="auto"/>
                    <w:jc w:val="center"/>
                    <w:rPr>
                      <w:rFonts w:ascii="Arial" w:hAnsi="Arial" w:cs="Arial"/>
                      <w:b/>
                      <w:sz w:val="18"/>
                      <w:szCs w:val="18"/>
                    </w:rPr>
                  </w:pPr>
                  <w:r>
                    <w:rPr>
                      <w:rFonts w:ascii="Arial" w:hAnsi="Arial" w:cs="Arial"/>
                      <w:b/>
                      <w:sz w:val="18"/>
                      <w:szCs w:val="18"/>
                    </w:rPr>
                    <w:t>92.5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E739BD" w:rsidRPr="00464C33" w:rsidRDefault="009105C5" w:rsidP="003C2024">
                  <w:pPr>
                    <w:spacing w:after="0" w:line="240" w:lineRule="auto"/>
                    <w:jc w:val="center"/>
                    <w:rPr>
                      <w:rFonts w:ascii="Arial" w:hAnsi="Arial" w:cs="Arial"/>
                      <w:b/>
                      <w:sz w:val="18"/>
                      <w:szCs w:val="18"/>
                    </w:rPr>
                  </w:pPr>
                  <w:r>
                    <w:rPr>
                      <w:rFonts w:ascii="Arial" w:hAnsi="Arial" w:cs="Arial"/>
                      <w:b/>
                      <w:sz w:val="18"/>
                      <w:szCs w:val="18"/>
                    </w:rPr>
                    <w:t>95.4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464C33" w:rsidRDefault="009105C5" w:rsidP="00E739BD">
                  <w:pPr>
                    <w:spacing w:after="0" w:line="240" w:lineRule="auto"/>
                    <w:jc w:val="center"/>
                    <w:rPr>
                      <w:rFonts w:ascii="Arial" w:hAnsi="Arial" w:cs="Arial"/>
                      <w:b/>
                      <w:sz w:val="18"/>
                      <w:szCs w:val="18"/>
                    </w:rPr>
                  </w:pPr>
                  <w:r>
                    <w:rPr>
                      <w:rFonts w:ascii="Arial" w:hAnsi="Arial" w:cs="Arial"/>
                      <w:b/>
                      <w:sz w:val="18"/>
                      <w:szCs w:val="18"/>
                    </w:rPr>
                    <w:t>77.3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464C33" w:rsidRDefault="009105C5" w:rsidP="00E739BD">
                  <w:pPr>
                    <w:spacing w:after="0" w:line="240" w:lineRule="auto"/>
                    <w:jc w:val="center"/>
                    <w:rPr>
                      <w:rFonts w:ascii="Arial" w:hAnsi="Arial" w:cs="Arial"/>
                      <w:b/>
                      <w:sz w:val="18"/>
                      <w:szCs w:val="18"/>
                    </w:rPr>
                  </w:pPr>
                  <w:r>
                    <w:rPr>
                      <w:rFonts w:ascii="Arial" w:hAnsi="Arial" w:cs="Arial"/>
                      <w:b/>
                      <w:sz w:val="18"/>
                      <w:szCs w:val="18"/>
                    </w:rPr>
                    <w:t>79.4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E739BD" w:rsidRPr="00464C33" w:rsidRDefault="00E739BD" w:rsidP="00E739BD">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A26EAA" w:rsidRDefault="009105C5" w:rsidP="00E739BD">
                  <w:pPr>
                    <w:spacing w:after="0" w:line="240" w:lineRule="auto"/>
                    <w:jc w:val="center"/>
                    <w:rPr>
                      <w:rFonts w:ascii="Arial" w:hAnsi="Arial" w:cs="Arial"/>
                      <w:b/>
                      <w:sz w:val="18"/>
                      <w:szCs w:val="18"/>
                    </w:rPr>
                  </w:pPr>
                  <w:r>
                    <w:rPr>
                      <w:rFonts w:ascii="Arial" w:hAnsi="Arial" w:cs="Arial"/>
                      <w:b/>
                      <w:color w:val="FF0000"/>
                      <w:sz w:val="18"/>
                      <w:szCs w:val="18"/>
                    </w:rPr>
                    <w:t>132.2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464C33" w:rsidRDefault="00E739BD" w:rsidP="00E739BD">
                  <w:pPr>
                    <w:spacing w:after="0" w:line="240" w:lineRule="auto"/>
                    <w:jc w:val="right"/>
                    <w:rPr>
                      <w:rFonts w:ascii="Arial" w:hAnsi="Arial" w:cs="Arial"/>
                      <w:b/>
                      <w:sz w:val="18"/>
                      <w:szCs w:val="18"/>
                    </w:rPr>
                  </w:pPr>
                  <w:r w:rsidRPr="00464C33">
                    <w:rPr>
                      <w:rFonts w:ascii="Arial" w:hAnsi="Arial" w:cs="Arial"/>
                      <w:b/>
                      <w:sz w:val="18"/>
                      <w:szCs w:val="18"/>
                    </w:rPr>
                    <w:t>123 m</w:t>
                  </w:r>
                </w:p>
              </w:tc>
            </w:tr>
            <w:bookmarkEnd w:id="1"/>
            <w:bookmarkEnd w:id="2"/>
          </w:tbl>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E739BD"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p w:rsidR="00F553C7" w:rsidRPr="003363E1" w:rsidRDefault="00F553C7" w:rsidP="00E739BD">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2A6"/>
    <w:rsid w:val="000A5521"/>
    <w:rsid w:val="000A5A8C"/>
    <w:rsid w:val="000A5CA4"/>
    <w:rsid w:val="000A76B2"/>
    <w:rsid w:val="000A78AB"/>
    <w:rsid w:val="000B1319"/>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6F61"/>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DDF7-0EA8-4F25-B446-175A4260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6</cp:revision>
  <cp:lastPrinted>2018-08-11T07:24:00Z</cp:lastPrinted>
  <dcterms:created xsi:type="dcterms:W3CDTF">2018-08-17T07:47:00Z</dcterms:created>
  <dcterms:modified xsi:type="dcterms:W3CDTF">2018-08-17T09:20:00Z</dcterms:modified>
</cp:coreProperties>
</file>