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1D69A2">
        <w:rPr>
          <w:rFonts w:ascii="Comic Sans MS" w:hAnsi="Comic Sans MS"/>
          <w:b/>
          <w:i/>
          <w:sz w:val="40"/>
          <w:szCs w:val="40"/>
        </w:rPr>
        <w:t>46</w:t>
      </w:r>
      <w:r w:rsidRPr="00490CA8">
        <w:rPr>
          <w:rFonts w:ascii="Comic Sans MS" w:hAnsi="Comic Sans MS"/>
          <w:b/>
          <w:i/>
          <w:sz w:val="40"/>
          <w:szCs w:val="40"/>
        </w:rPr>
        <w:t>/19)</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D0558A">
      <w:pPr>
        <w:rPr>
          <w:rFonts w:ascii="Comic Sans MS" w:hAnsi="Comic Sans MS"/>
          <w:i/>
          <w:sz w:val="21"/>
          <w:szCs w:val="21"/>
        </w:rPr>
      </w:pPr>
      <w:r>
        <w:rPr>
          <w:rFonts w:ascii="Comic Sans MS" w:hAnsi="Comic Sans MS"/>
          <w:i/>
          <w:sz w:val="21"/>
          <w:szCs w:val="21"/>
        </w:rPr>
        <w:t>Justin Chadwick 15</w:t>
      </w:r>
      <w:r w:rsidR="000E541C">
        <w:rPr>
          <w:rFonts w:ascii="Comic Sans MS" w:hAnsi="Comic Sans MS"/>
          <w:i/>
          <w:sz w:val="21"/>
          <w:szCs w:val="21"/>
        </w:rPr>
        <w:t xml:space="preserve"> November</w:t>
      </w:r>
      <w:r w:rsidR="00361403">
        <w:rPr>
          <w:rFonts w:ascii="Comic Sans MS" w:hAnsi="Comic Sans MS"/>
          <w:i/>
          <w:sz w:val="21"/>
          <w:szCs w:val="21"/>
        </w:rPr>
        <w:t xml:space="preserve"> </w:t>
      </w:r>
      <w:r w:rsidR="00361403" w:rsidRPr="00EF7AA5">
        <w:rPr>
          <w:rFonts w:ascii="Comic Sans MS" w:hAnsi="Comic Sans MS"/>
          <w:i/>
          <w:sz w:val="21"/>
          <w:szCs w:val="21"/>
        </w:rPr>
        <w:t>2019</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0D76D2" w:rsidTr="005E363D">
        <w:trPr>
          <w:trHeight w:val="269"/>
          <w:tblCellSpacing w:w="0" w:type="dxa"/>
        </w:trPr>
        <w:tc>
          <w:tcPr>
            <w:tcW w:w="10824" w:type="dxa"/>
            <w:vAlign w:val="center"/>
          </w:tcPr>
          <w:p w:rsidR="00836320" w:rsidRPr="00ED209B" w:rsidRDefault="000E541C" w:rsidP="00ED209B">
            <w:pPr>
              <w:ind w:right="-329"/>
              <w:rPr>
                <w:rFonts w:ascii="Arial" w:hAnsi="Arial" w:cs="Arial"/>
                <w:b/>
                <w:i/>
                <w:lang w:val="en-US"/>
              </w:rPr>
            </w:pPr>
            <w:r w:rsidRPr="00897D4D">
              <w:rPr>
                <w:rFonts w:ascii="Arial" w:hAnsi="Arial" w:cs="Arial"/>
                <w:b/>
                <w:i/>
                <w:lang w:val="en-US"/>
              </w:rPr>
              <w:t>“</w:t>
            </w:r>
            <w:r w:rsidR="001D69A2">
              <w:rPr>
                <w:rFonts w:ascii="Arial" w:hAnsi="Arial" w:cs="Arial"/>
                <w:b/>
                <w:i/>
                <w:lang w:val="en-US"/>
              </w:rPr>
              <w:t>If you cannot do great things, do small things in a great way</w:t>
            </w:r>
            <w:r w:rsidR="00D0558A">
              <w:rPr>
                <w:rFonts w:ascii="Arial" w:hAnsi="Arial" w:cs="Arial"/>
                <w:b/>
                <w:i/>
                <w:lang w:val="en-US"/>
              </w:rPr>
              <w:t xml:space="preserve">” – Napoleon Hill </w:t>
            </w:r>
            <w:r>
              <w:rPr>
                <w:rFonts w:ascii="Arial" w:hAnsi="Arial" w:cs="Arial"/>
                <w:b/>
                <w:i/>
                <w:lang w:val="en-US"/>
              </w:rPr>
              <w:t xml:space="preserve"> </w:t>
            </w:r>
          </w:p>
        </w:tc>
      </w:tr>
    </w:tbl>
    <w:p w:rsidR="003F7804" w:rsidRPr="005E363D" w:rsidRDefault="00541EB1" w:rsidP="00940202">
      <w:pPr>
        <w:spacing w:after="0" w:line="240" w:lineRule="auto"/>
        <w:rPr>
          <w:rFonts w:eastAsia="Times New Roman" w:cs="Calibri"/>
          <w:b/>
          <w:color w:val="C45911" w:themeColor="accent2" w:themeShade="BF"/>
          <w:u w:val="single"/>
          <w:lang w:val="en-US"/>
        </w:rPr>
      </w:pPr>
      <w:r w:rsidRPr="005E363D">
        <w:rPr>
          <w:rFonts w:eastAsia="Times New Roman" w:cs="Calibri"/>
          <w:b/>
          <w:color w:val="C45911" w:themeColor="accent2" w:themeShade="BF"/>
          <w:u w:val="single"/>
          <w:lang w:val="en-US"/>
        </w:rPr>
        <w:t>2019 NAVEL</w:t>
      </w:r>
      <w:r w:rsidR="000E541C" w:rsidRPr="005E363D">
        <w:rPr>
          <w:rFonts w:eastAsia="Times New Roman" w:cs="Calibri"/>
          <w:b/>
          <w:color w:val="C45911" w:themeColor="accent2" w:themeShade="BF"/>
          <w:u w:val="single"/>
          <w:lang w:val="en-US"/>
        </w:rPr>
        <w:t xml:space="preserve"> SEASONAL REVIEW</w:t>
      </w:r>
      <w:r w:rsidR="00455927" w:rsidRPr="005E363D">
        <w:rPr>
          <w:rFonts w:eastAsia="Times New Roman" w:cs="Calibri"/>
          <w:b/>
          <w:color w:val="C45911" w:themeColor="accent2" w:themeShade="BF"/>
          <w:u w:val="single"/>
          <w:lang w:val="en-US"/>
        </w:rPr>
        <w:t xml:space="preserve"> (Prepared by Portia Magwaza; CGA Research Economist)</w:t>
      </w:r>
      <w:r w:rsidR="000E541C" w:rsidRPr="005E363D">
        <w:rPr>
          <w:rFonts w:eastAsia="Times New Roman" w:cs="Calibri"/>
          <w:b/>
          <w:color w:val="C45911" w:themeColor="accent2" w:themeShade="BF"/>
          <w:u w:val="single"/>
          <w:lang w:val="en-US"/>
        </w:rPr>
        <w:t xml:space="preserve"> </w:t>
      </w:r>
      <w:r w:rsidR="00230CA5" w:rsidRPr="005E363D">
        <w:rPr>
          <w:rFonts w:eastAsia="Times New Roman" w:cs="Calibri"/>
          <w:b/>
          <w:color w:val="C45911" w:themeColor="accent2" w:themeShade="BF"/>
          <w:u w:val="single"/>
          <w:lang w:val="en-US"/>
        </w:rPr>
        <w:t xml:space="preserve"> </w:t>
      </w:r>
    </w:p>
    <w:p w:rsidR="00230CA5" w:rsidRDefault="00956D1F" w:rsidP="00595E08">
      <w:pPr>
        <w:spacing w:after="0"/>
        <w:rPr>
          <w:rFonts w:ascii="Arial" w:eastAsia="Times New Roman" w:hAnsi="Arial" w:cs="Arial"/>
          <w:b/>
          <w:color w:val="C45911" w:themeColor="accent2" w:themeShade="BF"/>
          <w:sz w:val="24"/>
          <w:szCs w:val="24"/>
          <w:u w:val="single"/>
          <w:lang w:val="en-US"/>
        </w:rPr>
      </w:pPr>
      <w:r>
        <w:rPr>
          <w:noProof/>
          <w:lang w:eastAsia="en-ZA"/>
        </w:rPr>
        <w:drawing>
          <wp:anchor distT="0" distB="0" distL="114300" distR="114300" simplePos="0" relativeHeight="251660288" behindDoc="1" locked="0" layoutInCell="1" allowOverlap="1" wp14:anchorId="3F916F3B" wp14:editId="49650E9D">
            <wp:simplePos x="0" y="0"/>
            <wp:positionH relativeFrom="column">
              <wp:posOffset>2540</wp:posOffset>
            </wp:positionH>
            <wp:positionV relativeFrom="paragraph">
              <wp:posOffset>127000</wp:posOffset>
            </wp:positionV>
            <wp:extent cx="3571240" cy="1973580"/>
            <wp:effectExtent l="0" t="0" r="10160" b="7620"/>
            <wp:wrapTight wrapText="bothSides">
              <wp:wrapPolygon edited="0">
                <wp:start x="0" y="0"/>
                <wp:lineTo x="0" y="21475"/>
                <wp:lineTo x="21546" y="21475"/>
                <wp:lineTo x="21546"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rsidR="00CB303A" w:rsidRDefault="00541EB1" w:rsidP="00541EB1">
      <w:pPr>
        <w:spacing w:after="0" w:line="240" w:lineRule="auto"/>
        <w:jc w:val="both"/>
        <w:rPr>
          <w:bCs/>
        </w:rPr>
      </w:pPr>
      <w:r>
        <w:rPr>
          <w:bCs/>
        </w:rPr>
        <w:t>Navel Orange packing for exports was at 24.3 million cartons, almost 10% down on the March estimate of 26.9 million car</w:t>
      </w:r>
      <w:r w:rsidR="001218D8">
        <w:rPr>
          <w:bCs/>
        </w:rPr>
        <w:t xml:space="preserve">tons. This was due to late colouring, a drop in acid levels and hail damage in the some of the navel regions. </w:t>
      </w:r>
    </w:p>
    <w:p w:rsidR="001218D8" w:rsidRDefault="00956D1F" w:rsidP="00541EB1">
      <w:pPr>
        <w:spacing w:after="0" w:line="240" w:lineRule="auto"/>
        <w:jc w:val="both"/>
        <w:rPr>
          <w:bCs/>
        </w:rPr>
      </w:pPr>
      <w:r>
        <w:rPr>
          <w:noProof/>
          <w:lang w:eastAsia="en-ZA"/>
        </w:rPr>
        <w:drawing>
          <wp:anchor distT="0" distB="0" distL="114300" distR="114300" simplePos="0" relativeHeight="251661312" behindDoc="1" locked="0" layoutInCell="1" allowOverlap="1" wp14:anchorId="36888BFE" wp14:editId="2F6F5974">
            <wp:simplePos x="0" y="0"/>
            <wp:positionH relativeFrom="column">
              <wp:posOffset>2540</wp:posOffset>
            </wp:positionH>
            <wp:positionV relativeFrom="paragraph">
              <wp:posOffset>1040765</wp:posOffset>
            </wp:positionV>
            <wp:extent cx="3622675" cy="1852930"/>
            <wp:effectExtent l="0" t="0" r="15875" b="13970"/>
            <wp:wrapTight wrapText="bothSides">
              <wp:wrapPolygon edited="0">
                <wp:start x="0" y="0"/>
                <wp:lineTo x="0" y="21541"/>
                <wp:lineTo x="21581" y="21541"/>
                <wp:lineTo x="21581"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1218D8">
        <w:rPr>
          <w:bCs/>
        </w:rPr>
        <w:t>It is worth noting that there were big regional swings</w:t>
      </w:r>
      <w:r w:rsidR="0028648D">
        <w:rPr>
          <w:bCs/>
        </w:rPr>
        <w:t xml:space="preserve"> </w:t>
      </w:r>
      <w:r w:rsidR="001218D8">
        <w:rPr>
          <w:bCs/>
        </w:rPr>
        <w:t xml:space="preserve">- </w:t>
      </w:r>
      <w:r w:rsidR="00EE395A">
        <w:rPr>
          <w:bCs/>
        </w:rPr>
        <w:t>Sundays River took over first place s</w:t>
      </w:r>
      <w:r w:rsidR="005E363D">
        <w:rPr>
          <w:bCs/>
        </w:rPr>
        <w:t>pot</w:t>
      </w:r>
      <w:r w:rsidR="0028648D">
        <w:rPr>
          <w:bCs/>
        </w:rPr>
        <w:t xml:space="preserve"> - their 6 million cartons </w:t>
      </w:r>
      <w:proofErr w:type="gramStart"/>
      <w:r w:rsidR="0028648D">
        <w:rPr>
          <w:bCs/>
        </w:rPr>
        <w:t>was</w:t>
      </w:r>
      <w:proofErr w:type="gramEnd"/>
      <w:r w:rsidR="0028648D">
        <w:rPr>
          <w:bCs/>
        </w:rPr>
        <w:t xml:space="preserve"> a</w:t>
      </w:r>
      <w:bookmarkStart w:id="0" w:name="_GoBack"/>
      <w:bookmarkEnd w:id="0"/>
      <w:r w:rsidR="00EE395A">
        <w:rPr>
          <w:bCs/>
        </w:rPr>
        <w:t xml:space="preserve"> spot on estimate. Western Cape came in second place with 6 million ca</w:t>
      </w:r>
      <w:r w:rsidR="0028648D">
        <w:rPr>
          <w:bCs/>
        </w:rPr>
        <w:t xml:space="preserve">rtons, 2% under estimate.  </w:t>
      </w:r>
      <w:proofErr w:type="spellStart"/>
      <w:r w:rsidR="0028648D">
        <w:rPr>
          <w:bCs/>
        </w:rPr>
        <w:t>Senwe</w:t>
      </w:r>
      <w:r w:rsidR="00EE395A">
        <w:rPr>
          <w:bCs/>
        </w:rPr>
        <w:t>s</w:t>
      </w:r>
      <w:proofErr w:type="spellEnd"/>
      <w:r w:rsidR="00EE395A">
        <w:rPr>
          <w:bCs/>
        </w:rPr>
        <w:t xml:space="preserve"> slipped to third place</w:t>
      </w:r>
      <w:r w:rsidR="001218D8">
        <w:rPr>
          <w:bCs/>
        </w:rPr>
        <w:t xml:space="preserve"> at 5.8 million cartons, 27% lower than estimate. </w:t>
      </w:r>
      <w:r w:rsidR="00B65EBE">
        <w:rPr>
          <w:bCs/>
        </w:rPr>
        <w:t xml:space="preserve">Patensie was spot on with their estimate of 3.4 million cartons, while Nelspruit was 11% over estimate (1 m vs 1.1m). </w:t>
      </w:r>
    </w:p>
    <w:p w:rsidR="001D69A2" w:rsidRDefault="001D69A2" w:rsidP="00541EB1">
      <w:pPr>
        <w:spacing w:after="0" w:line="240" w:lineRule="auto"/>
        <w:jc w:val="both"/>
        <w:rPr>
          <w:bCs/>
        </w:rPr>
      </w:pPr>
    </w:p>
    <w:p w:rsidR="00B65EBE" w:rsidRDefault="00B65EBE" w:rsidP="00541EB1">
      <w:pPr>
        <w:spacing w:after="0" w:line="240" w:lineRule="auto"/>
        <w:jc w:val="both"/>
        <w:rPr>
          <w:bCs/>
        </w:rPr>
      </w:pPr>
      <w:r>
        <w:rPr>
          <w:bCs/>
        </w:rPr>
        <w:t xml:space="preserve">As with grapefruit and lemons, Netherlands remains the number one importer at 57 000 tonnes. They were followed by Saudi Arabia (33 000 tonnes), UAE (30 000 tonnes) and China (29 000 tonnes). Making an appearance from nowhere at number five was Russia – rising from 19 000 tonnes in 2018 to 24 000 tonnes in 2019. </w:t>
      </w:r>
    </w:p>
    <w:p w:rsidR="005E363D" w:rsidRPr="005E363D" w:rsidRDefault="000E541C" w:rsidP="005E363D">
      <w:pPr>
        <w:spacing w:after="0"/>
        <w:rPr>
          <w:rFonts w:ascii="Arial" w:eastAsia="Times New Roman" w:hAnsi="Arial" w:cs="Arial"/>
          <w:b/>
          <w:color w:val="C45911" w:themeColor="accent2" w:themeShade="BF"/>
          <w:u w:val="single"/>
          <w:lang w:val="en-US"/>
        </w:rPr>
      </w:pPr>
      <w:r>
        <w:rPr>
          <w:bCs/>
        </w:rPr>
        <w:t xml:space="preserve"> </w:t>
      </w:r>
      <w:r w:rsidR="005E363D" w:rsidRPr="005E363D">
        <w:rPr>
          <w:rFonts w:ascii="Arial" w:eastAsia="Times New Roman" w:hAnsi="Arial" w:cs="Arial"/>
          <w:b/>
          <w:color w:val="C45911" w:themeColor="accent2" w:themeShade="BF"/>
          <w:u w:val="single"/>
          <w:lang w:val="en-US"/>
        </w:rPr>
        <w:t>CITRUS STATISTICS</w:t>
      </w:r>
    </w:p>
    <w:p w:rsidR="005E363D" w:rsidRPr="005E363D" w:rsidRDefault="0028648D" w:rsidP="005E363D">
      <w:pPr>
        <w:spacing w:after="0"/>
        <w:rPr>
          <w:rFonts w:asciiTheme="minorHAnsi" w:eastAsia="Times New Roman" w:hAnsiTheme="minorHAnsi" w:cstheme="minorHAnsi"/>
          <w:lang w:val="en-US"/>
        </w:rPr>
      </w:pPr>
      <w:r>
        <w:rPr>
          <w:rFonts w:asciiTheme="minorHAnsi" w:eastAsia="Times New Roman" w:hAnsiTheme="minorHAnsi" w:cstheme="minorHAnsi"/>
          <w:lang w:val="en-US"/>
        </w:rPr>
        <w:t>For this week’s newsletter</w:t>
      </w:r>
      <w:r w:rsidR="005E363D" w:rsidRPr="005E363D">
        <w:rPr>
          <w:rFonts w:asciiTheme="minorHAnsi" w:eastAsia="Times New Roman" w:hAnsiTheme="minorHAnsi" w:cstheme="minorHAnsi"/>
          <w:lang w:val="en-US"/>
        </w:rPr>
        <w:t xml:space="preserve"> I extracted some of the statistics on the grapefruit trade – comparing 2017 (latest data) with 2012. This shows the fastest growing and the fastest declining global trade flows:</w:t>
      </w:r>
    </w:p>
    <w:tbl>
      <w:tblPr>
        <w:tblStyle w:val="TableGrid"/>
        <w:tblW w:w="5000" w:type="pct"/>
        <w:tblLook w:val="04A0" w:firstRow="1" w:lastRow="0" w:firstColumn="1" w:lastColumn="0" w:noHBand="0" w:noVBand="1"/>
      </w:tblPr>
      <w:tblGrid>
        <w:gridCol w:w="4208"/>
        <w:gridCol w:w="922"/>
        <w:gridCol w:w="4408"/>
        <w:gridCol w:w="918"/>
      </w:tblGrid>
      <w:tr w:rsidR="005E363D" w:rsidRPr="005E363D" w:rsidTr="00CF05AE">
        <w:tc>
          <w:tcPr>
            <w:tcW w:w="20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63D" w:rsidRPr="005E363D" w:rsidRDefault="005E363D" w:rsidP="00CF05AE">
            <w:pPr>
              <w:spacing w:after="0"/>
              <w:rPr>
                <w:rFonts w:asciiTheme="minorHAnsi" w:eastAsia="Times New Roman" w:hAnsiTheme="minorHAnsi" w:cstheme="minorHAnsi"/>
                <w:b/>
                <w:lang w:val="en-US"/>
              </w:rPr>
            </w:pPr>
            <w:r w:rsidRPr="005E363D">
              <w:rPr>
                <w:rFonts w:asciiTheme="minorHAnsi" w:eastAsia="Times New Roman" w:hAnsiTheme="minorHAnsi" w:cstheme="minorHAnsi"/>
                <w:b/>
                <w:lang w:val="en-US"/>
              </w:rPr>
              <w:t>Fastest Growing</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63D" w:rsidRPr="005E363D" w:rsidRDefault="005E363D" w:rsidP="00CF05AE">
            <w:pPr>
              <w:spacing w:after="0"/>
              <w:jc w:val="right"/>
              <w:rPr>
                <w:rFonts w:asciiTheme="minorHAnsi" w:eastAsia="Times New Roman" w:hAnsiTheme="minorHAnsi" w:cstheme="minorHAnsi"/>
                <w:b/>
                <w:lang w:val="en-US"/>
              </w:rPr>
            </w:pPr>
            <w:r w:rsidRPr="005E363D">
              <w:rPr>
                <w:rFonts w:asciiTheme="minorHAnsi" w:eastAsia="Times New Roman" w:hAnsiTheme="minorHAnsi" w:cstheme="minorHAnsi"/>
                <w:b/>
                <w:lang w:val="en-US"/>
              </w:rPr>
              <w:t>%</w:t>
            </w:r>
          </w:p>
        </w:tc>
        <w:tc>
          <w:tcPr>
            <w:tcW w:w="2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63D" w:rsidRPr="005E363D" w:rsidRDefault="005E363D" w:rsidP="00CF05AE">
            <w:pPr>
              <w:spacing w:after="0"/>
              <w:rPr>
                <w:rFonts w:asciiTheme="minorHAnsi" w:eastAsia="Times New Roman" w:hAnsiTheme="minorHAnsi" w:cstheme="minorHAnsi"/>
                <w:b/>
                <w:lang w:val="en-US"/>
              </w:rPr>
            </w:pPr>
            <w:r w:rsidRPr="005E363D">
              <w:rPr>
                <w:rFonts w:asciiTheme="minorHAnsi" w:eastAsia="Times New Roman" w:hAnsiTheme="minorHAnsi" w:cstheme="minorHAnsi"/>
                <w:b/>
                <w:lang w:val="en-US"/>
              </w:rPr>
              <w:t>Fastest Declining</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E363D" w:rsidRPr="005E363D" w:rsidRDefault="005E363D" w:rsidP="00CF05AE">
            <w:pPr>
              <w:spacing w:after="0"/>
              <w:jc w:val="right"/>
              <w:rPr>
                <w:rFonts w:asciiTheme="minorHAnsi" w:eastAsia="Times New Roman" w:hAnsiTheme="minorHAnsi" w:cstheme="minorHAnsi"/>
                <w:b/>
                <w:lang w:val="en-US"/>
              </w:rPr>
            </w:pPr>
            <w:r w:rsidRPr="005E363D">
              <w:rPr>
                <w:rFonts w:asciiTheme="minorHAnsi" w:eastAsia="Times New Roman" w:hAnsiTheme="minorHAnsi" w:cstheme="minorHAnsi"/>
                <w:b/>
                <w:lang w:val="en-US"/>
              </w:rPr>
              <w:t>%</w:t>
            </w:r>
          </w:p>
        </w:tc>
      </w:tr>
      <w:tr w:rsidR="005E363D" w:rsidRPr="005E363D" w:rsidTr="00CF05AE">
        <w:tc>
          <w:tcPr>
            <w:tcW w:w="2012"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rPr>
                <w:rFonts w:asciiTheme="minorHAnsi" w:eastAsia="Times New Roman" w:hAnsiTheme="minorHAnsi" w:cstheme="minorHAnsi"/>
                <w:lang w:val="en-US"/>
              </w:rPr>
            </w:pPr>
            <w:r w:rsidRPr="005E363D">
              <w:rPr>
                <w:rFonts w:asciiTheme="minorHAnsi" w:eastAsia="Times New Roman" w:hAnsiTheme="minorHAnsi" w:cstheme="minorHAnsi"/>
                <w:lang w:val="en-US"/>
              </w:rPr>
              <w:t>Spain to Netherlands</w:t>
            </w:r>
          </w:p>
        </w:tc>
        <w:tc>
          <w:tcPr>
            <w:tcW w:w="441"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jc w:val="right"/>
              <w:rPr>
                <w:rFonts w:asciiTheme="minorHAnsi" w:eastAsia="Times New Roman" w:hAnsiTheme="minorHAnsi" w:cstheme="minorHAnsi"/>
                <w:lang w:val="en-US"/>
              </w:rPr>
            </w:pPr>
            <w:r w:rsidRPr="005E363D">
              <w:rPr>
                <w:rFonts w:asciiTheme="minorHAnsi" w:eastAsia="Times New Roman" w:hAnsiTheme="minorHAnsi" w:cstheme="minorHAnsi"/>
                <w:lang w:val="en-US"/>
              </w:rPr>
              <w:t>+86%</w:t>
            </w:r>
          </w:p>
        </w:tc>
        <w:tc>
          <w:tcPr>
            <w:tcW w:w="2108"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rPr>
                <w:rFonts w:asciiTheme="minorHAnsi" w:eastAsia="Times New Roman" w:hAnsiTheme="minorHAnsi" w:cstheme="minorHAnsi"/>
                <w:lang w:val="en-US"/>
              </w:rPr>
            </w:pPr>
            <w:r w:rsidRPr="005E363D">
              <w:rPr>
                <w:rFonts w:asciiTheme="minorHAnsi" w:eastAsia="Times New Roman" w:hAnsiTheme="minorHAnsi" w:cstheme="minorHAnsi"/>
                <w:lang w:val="en-US"/>
              </w:rPr>
              <w:t>USA to Netherlands</w:t>
            </w:r>
          </w:p>
        </w:tc>
        <w:tc>
          <w:tcPr>
            <w:tcW w:w="439"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jc w:val="right"/>
              <w:rPr>
                <w:rFonts w:asciiTheme="minorHAnsi" w:eastAsia="Times New Roman" w:hAnsiTheme="minorHAnsi" w:cstheme="minorHAnsi"/>
                <w:lang w:val="en-US"/>
              </w:rPr>
            </w:pPr>
            <w:r w:rsidRPr="005E363D">
              <w:rPr>
                <w:rFonts w:asciiTheme="minorHAnsi" w:eastAsia="Times New Roman" w:hAnsiTheme="minorHAnsi" w:cstheme="minorHAnsi"/>
                <w:lang w:val="en-US"/>
              </w:rPr>
              <w:t>-29%</w:t>
            </w:r>
          </w:p>
        </w:tc>
      </w:tr>
      <w:tr w:rsidR="005E363D" w:rsidRPr="005E363D" w:rsidTr="00CF05AE">
        <w:tc>
          <w:tcPr>
            <w:tcW w:w="2012"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rPr>
                <w:rFonts w:asciiTheme="minorHAnsi" w:eastAsia="Times New Roman" w:hAnsiTheme="minorHAnsi" w:cstheme="minorHAnsi"/>
                <w:lang w:val="en-US"/>
              </w:rPr>
            </w:pPr>
            <w:r w:rsidRPr="005E363D">
              <w:rPr>
                <w:rFonts w:asciiTheme="minorHAnsi" w:eastAsia="Times New Roman" w:hAnsiTheme="minorHAnsi" w:cstheme="minorHAnsi"/>
                <w:lang w:val="en-US"/>
              </w:rPr>
              <w:t>South Africa to China</w:t>
            </w:r>
          </w:p>
        </w:tc>
        <w:tc>
          <w:tcPr>
            <w:tcW w:w="441"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jc w:val="right"/>
              <w:rPr>
                <w:rFonts w:asciiTheme="minorHAnsi" w:eastAsia="Times New Roman" w:hAnsiTheme="minorHAnsi" w:cstheme="minorHAnsi"/>
                <w:lang w:val="en-US"/>
              </w:rPr>
            </w:pPr>
            <w:r w:rsidRPr="005E363D">
              <w:rPr>
                <w:rFonts w:asciiTheme="minorHAnsi" w:eastAsia="Times New Roman" w:hAnsiTheme="minorHAnsi" w:cstheme="minorHAnsi"/>
                <w:lang w:val="en-US"/>
              </w:rPr>
              <w:t>+63%</w:t>
            </w:r>
          </w:p>
        </w:tc>
        <w:tc>
          <w:tcPr>
            <w:tcW w:w="2108"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rPr>
                <w:rFonts w:asciiTheme="minorHAnsi" w:eastAsia="Times New Roman" w:hAnsiTheme="minorHAnsi" w:cstheme="minorHAnsi"/>
                <w:lang w:val="en-US"/>
              </w:rPr>
            </w:pPr>
            <w:r w:rsidRPr="005E363D">
              <w:rPr>
                <w:rFonts w:asciiTheme="minorHAnsi" w:eastAsia="Times New Roman" w:hAnsiTheme="minorHAnsi" w:cstheme="minorHAnsi"/>
                <w:lang w:val="en-US"/>
              </w:rPr>
              <w:t>China to Hong Kong</w:t>
            </w:r>
          </w:p>
        </w:tc>
        <w:tc>
          <w:tcPr>
            <w:tcW w:w="439"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jc w:val="right"/>
              <w:rPr>
                <w:rFonts w:asciiTheme="minorHAnsi" w:eastAsia="Times New Roman" w:hAnsiTheme="minorHAnsi" w:cstheme="minorHAnsi"/>
                <w:lang w:val="en-US"/>
              </w:rPr>
            </w:pPr>
            <w:r w:rsidRPr="005E363D">
              <w:rPr>
                <w:rFonts w:asciiTheme="minorHAnsi" w:eastAsia="Times New Roman" w:hAnsiTheme="minorHAnsi" w:cstheme="minorHAnsi"/>
                <w:lang w:val="en-US"/>
              </w:rPr>
              <w:t>-28%</w:t>
            </w:r>
          </w:p>
        </w:tc>
      </w:tr>
      <w:tr w:rsidR="005E363D" w:rsidRPr="005E363D" w:rsidTr="00CF05AE">
        <w:tc>
          <w:tcPr>
            <w:tcW w:w="2012"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rPr>
                <w:rFonts w:asciiTheme="minorHAnsi" w:eastAsia="Times New Roman" w:hAnsiTheme="minorHAnsi" w:cstheme="minorHAnsi"/>
                <w:lang w:val="en-US"/>
              </w:rPr>
            </w:pPr>
            <w:r w:rsidRPr="005E363D">
              <w:rPr>
                <w:rFonts w:asciiTheme="minorHAnsi" w:eastAsia="Times New Roman" w:hAnsiTheme="minorHAnsi" w:cstheme="minorHAnsi"/>
                <w:lang w:val="en-US"/>
              </w:rPr>
              <w:t>Israel to China</w:t>
            </w:r>
          </w:p>
        </w:tc>
        <w:tc>
          <w:tcPr>
            <w:tcW w:w="441"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jc w:val="right"/>
              <w:rPr>
                <w:rFonts w:asciiTheme="minorHAnsi" w:eastAsia="Times New Roman" w:hAnsiTheme="minorHAnsi" w:cstheme="minorHAnsi"/>
                <w:lang w:val="en-US"/>
              </w:rPr>
            </w:pPr>
            <w:r w:rsidRPr="005E363D">
              <w:rPr>
                <w:rFonts w:asciiTheme="minorHAnsi" w:eastAsia="Times New Roman" w:hAnsiTheme="minorHAnsi" w:cstheme="minorHAnsi"/>
                <w:lang w:val="en-US"/>
              </w:rPr>
              <w:t>+58%</w:t>
            </w:r>
          </w:p>
        </w:tc>
        <w:tc>
          <w:tcPr>
            <w:tcW w:w="2108"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rPr>
                <w:rFonts w:asciiTheme="minorHAnsi" w:eastAsia="Times New Roman" w:hAnsiTheme="minorHAnsi" w:cstheme="minorHAnsi"/>
                <w:lang w:val="en-US"/>
              </w:rPr>
            </w:pPr>
            <w:r w:rsidRPr="005E363D">
              <w:rPr>
                <w:rFonts w:asciiTheme="minorHAnsi" w:eastAsia="Times New Roman" w:hAnsiTheme="minorHAnsi" w:cstheme="minorHAnsi"/>
                <w:lang w:val="en-US"/>
              </w:rPr>
              <w:t>Mexico to Netherlands</w:t>
            </w:r>
          </w:p>
        </w:tc>
        <w:tc>
          <w:tcPr>
            <w:tcW w:w="439"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jc w:val="right"/>
              <w:rPr>
                <w:rFonts w:asciiTheme="minorHAnsi" w:eastAsia="Times New Roman" w:hAnsiTheme="minorHAnsi" w:cstheme="minorHAnsi"/>
                <w:lang w:val="en-US"/>
              </w:rPr>
            </w:pPr>
            <w:r w:rsidRPr="005E363D">
              <w:rPr>
                <w:rFonts w:asciiTheme="minorHAnsi" w:eastAsia="Times New Roman" w:hAnsiTheme="minorHAnsi" w:cstheme="minorHAnsi"/>
                <w:lang w:val="en-US"/>
              </w:rPr>
              <w:t>-25%</w:t>
            </w:r>
          </w:p>
        </w:tc>
      </w:tr>
      <w:tr w:rsidR="005E363D" w:rsidRPr="005E363D" w:rsidTr="00CF05AE">
        <w:tc>
          <w:tcPr>
            <w:tcW w:w="2012"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rPr>
                <w:rFonts w:asciiTheme="minorHAnsi" w:eastAsia="Times New Roman" w:hAnsiTheme="minorHAnsi" w:cstheme="minorHAnsi"/>
                <w:lang w:val="en-US"/>
              </w:rPr>
            </w:pPr>
            <w:r w:rsidRPr="005E363D">
              <w:rPr>
                <w:rFonts w:asciiTheme="minorHAnsi" w:eastAsia="Times New Roman" w:hAnsiTheme="minorHAnsi" w:cstheme="minorHAnsi"/>
                <w:lang w:val="en-US"/>
              </w:rPr>
              <w:t>Turkey to Netherlands</w:t>
            </w:r>
          </w:p>
        </w:tc>
        <w:tc>
          <w:tcPr>
            <w:tcW w:w="441"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jc w:val="right"/>
              <w:rPr>
                <w:rFonts w:asciiTheme="minorHAnsi" w:eastAsia="Times New Roman" w:hAnsiTheme="minorHAnsi" w:cstheme="minorHAnsi"/>
                <w:lang w:val="en-US"/>
              </w:rPr>
            </w:pPr>
            <w:r w:rsidRPr="005E363D">
              <w:rPr>
                <w:rFonts w:asciiTheme="minorHAnsi" w:eastAsia="Times New Roman" w:hAnsiTheme="minorHAnsi" w:cstheme="minorHAnsi"/>
                <w:lang w:val="en-US"/>
              </w:rPr>
              <w:t>+24%</w:t>
            </w:r>
          </w:p>
        </w:tc>
        <w:tc>
          <w:tcPr>
            <w:tcW w:w="2108"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rPr>
                <w:rFonts w:asciiTheme="minorHAnsi" w:eastAsia="Times New Roman" w:hAnsiTheme="minorHAnsi" w:cstheme="minorHAnsi"/>
                <w:lang w:val="en-US"/>
              </w:rPr>
            </w:pPr>
            <w:r w:rsidRPr="005E363D">
              <w:rPr>
                <w:rFonts w:asciiTheme="minorHAnsi" w:eastAsia="Times New Roman" w:hAnsiTheme="minorHAnsi" w:cstheme="minorHAnsi"/>
                <w:lang w:val="en-US"/>
              </w:rPr>
              <w:t>Egypt to Saudi Arabia</w:t>
            </w:r>
          </w:p>
        </w:tc>
        <w:tc>
          <w:tcPr>
            <w:tcW w:w="439"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jc w:val="right"/>
              <w:rPr>
                <w:rFonts w:asciiTheme="minorHAnsi" w:eastAsia="Times New Roman" w:hAnsiTheme="minorHAnsi" w:cstheme="minorHAnsi"/>
                <w:lang w:val="en-US"/>
              </w:rPr>
            </w:pPr>
            <w:r w:rsidRPr="005E363D">
              <w:rPr>
                <w:rFonts w:asciiTheme="minorHAnsi" w:eastAsia="Times New Roman" w:hAnsiTheme="minorHAnsi" w:cstheme="minorHAnsi"/>
                <w:lang w:val="en-US"/>
              </w:rPr>
              <w:t>-23%</w:t>
            </w:r>
          </w:p>
        </w:tc>
      </w:tr>
      <w:tr w:rsidR="005E363D" w:rsidRPr="005E363D" w:rsidTr="00CF05AE">
        <w:tc>
          <w:tcPr>
            <w:tcW w:w="2012"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rPr>
                <w:rFonts w:asciiTheme="minorHAnsi" w:eastAsia="Times New Roman" w:hAnsiTheme="minorHAnsi" w:cstheme="minorHAnsi"/>
                <w:lang w:val="en-US"/>
              </w:rPr>
            </w:pPr>
            <w:r w:rsidRPr="005E363D">
              <w:rPr>
                <w:rFonts w:asciiTheme="minorHAnsi" w:eastAsia="Times New Roman" w:hAnsiTheme="minorHAnsi" w:cstheme="minorHAnsi"/>
                <w:lang w:val="en-US"/>
              </w:rPr>
              <w:t>South Africa to Portugal</w:t>
            </w:r>
          </w:p>
        </w:tc>
        <w:tc>
          <w:tcPr>
            <w:tcW w:w="441"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jc w:val="right"/>
              <w:rPr>
                <w:rFonts w:asciiTheme="minorHAnsi" w:eastAsia="Times New Roman" w:hAnsiTheme="minorHAnsi" w:cstheme="minorHAnsi"/>
                <w:lang w:val="en-US"/>
              </w:rPr>
            </w:pPr>
            <w:r w:rsidRPr="005E363D">
              <w:rPr>
                <w:rFonts w:asciiTheme="minorHAnsi" w:eastAsia="Times New Roman" w:hAnsiTheme="minorHAnsi" w:cstheme="minorHAnsi"/>
                <w:lang w:val="en-US"/>
              </w:rPr>
              <w:t>+24%</w:t>
            </w:r>
          </w:p>
        </w:tc>
        <w:tc>
          <w:tcPr>
            <w:tcW w:w="2108"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rPr>
                <w:rFonts w:asciiTheme="minorHAnsi" w:eastAsia="Times New Roman" w:hAnsiTheme="minorHAnsi" w:cstheme="minorHAnsi"/>
                <w:lang w:val="en-US"/>
              </w:rPr>
            </w:pPr>
            <w:r w:rsidRPr="005E363D">
              <w:rPr>
                <w:rFonts w:asciiTheme="minorHAnsi" w:eastAsia="Times New Roman" w:hAnsiTheme="minorHAnsi" w:cstheme="minorHAnsi"/>
                <w:lang w:val="en-US"/>
              </w:rPr>
              <w:t>USA to Japan</w:t>
            </w:r>
          </w:p>
        </w:tc>
        <w:tc>
          <w:tcPr>
            <w:tcW w:w="439" w:type="pct"/>
            <w:tcBorders>
              <w:top w:val="single" w:sz="4" w:space="0" w:color="auto"/>
              <w:left w:val="single" w:sz="4" w:space="0" w:color="auto"/>
              <w:bottom w:val="single" w:sz="4" w:space="0" w:color="auto"/>
              <w:right w:val="single" w:sz="4" w:space="0" w:color="auto"/>
            </w:tcBorders>
            <w:hideMark/>
          </w:tcPr>
          <w:p w:rsidR="005E363D" w:rsidRPr="005E363D" w:rsidRDefault="005E363D" w:rsidP="00CF05AE">
            <w:pPr>
              <w:spacing w:after="0"/>
              <w:jc w:val="right"/>
              <w:rPr>
                <w:rFonts w:asciiTheme="minorHAnsi" w:eastAsia="Times New Roman" w:hAnsiTheme="minorHAnsi" w:cstheme="minorHAnsi"/>
                <w:lang w:val="en-US"/>
              </w:rPr>
            </w:pPr>
            <w:r w:rsidRPr="005E363D">
              <w:rPr>
                <w:rFonts w:asciiTheme="minorHAnsi" w:eastAsia="Times New Roman" w:hAnsiTheme="minorHAnsi" w:cstheme="minorHAnsi"/>
                <w:lang w:val="en-US"/>
              </w:rPr>
              <w:t>-23%</w:t>
            </w:r>
          </w:p>
        </w:tc>
      </w:tr>
    </w:tbl>
    <w:p w:rsidR="005E363D" w:rsidRDefault="005E363D" w:rsidP="005E363D">
      <w:pPr>
        <w:spacing w:after="0"/>
        <w:rPr>
          <w:rFonts w:asciiTheme="minorHAnsi" w:hAnsiTheme="minorHAnsi" w:cstheme="minorHAnsi"/>
          <w:lang w:val="en-US"/>
        </w:rPr>
      </w:pPr>
      <w:r w:rsidRPr="005E363D">
        <w:rPr>
          <w:rFonts w:asciiTheme="minorHAnsi" w:eastAsia="Times New Roman" w:hAnsiTheme="minorHAnsi" w:cstheme="minorHAnsi"/>
          <w:lang w:val="en-US"/>
        </w:rPr>
        <w:t>The</w:t>
      </w:r>
      <w:r>
        <w:rPr>
          <w:rFonts w:asciiTheme="minorHAnsi" w:eastAsia="Times New Roman" w:hAnsiTheme="minorHAnsi" w:cstheme="minorHAnsi"/>
          <w:lang w:val="en-US"/>
        </w:rPr>
        <w:t xml:space="preserve"> changed trade flows reflect</w:t>
      </w:r>
      <w:r w:rsidRPr="005E363D">
        <w:rPr>
          <w:rFonts w:asciiTheme="minorHAnsi" w:eastAsia="Times New Roman" w:hAnsiTheme="minorHAnsi" w:cstheme="minorHAnsi"/>
          <w:lang w:val="en-US"/>
        </w:rPr>
        <w:t xml:space="preserve"> impact of phytosanita</w:t>
      </w:r>
      <w:r>
        <w:rPr>
          <w:rFonts w:asciiTheme="minorHAnsi" w:eastAsia="Times New Roman" w:hAnsiTheme="minorHAnsi" w:cstheme="minorHAnsi"/>
          <w:lang w:val="en-US"/>
        </w:rPr>
        <w:t>ry restrictions, climate</w:t>
      </w:r>
      <w:r w:rsidRPr="005E363D">
        <w:rPr>
          <w:rFonts w:asciiTheme="minorHAnsi" w:eastAsia="Times New Roman" w:hAnsiTheme="minorHAnsi" w:cstheme="minorHAnsi"/>
          <w:lang w:val="en-US"/>
        </w:rPr>
        <w:t xml:space="preserve">, political and trade disturbances. </w:t>
      </w:r>
    </w:p>
    <w:p w:rsidR="007830CC" w:rsidRDefault="00595E08" w:rsidP="005E363D">
      <w:pPr>
        <w:spacing w:after="0"/>
        <w:rPr>
          <w:noProof/>
          <w:lang w:eastAsia="en-ZA"/>
        </w:rPr>
      </w:pPr>
      <w:r w:rsidRPr="00F40554">
        <w:rPr>
          <w:rFonts w:ascii="Arial" w:eastAsia="Times New Roman" w:hAnsi="Arial" w:cs="Arial"/>
          <w:b/>
          <w:color w:val="C45911" w:themeColor="accent2" w:themeShade="BF"/>
          <w:sz w:val="24"/>
          <w:szCs w:val="24"/>
          <w:u w:val="single"/>
          <w:lang w:val="en-US"/>
        </w:rPr>
        <w:t>PACKED AND SHIPPED</w:t>
      </w:r>
      <w:r w:rsidR="00DA6EAC">
        <w:rPr>
          <w:rFonts w:ascii="Arial" w:eastAsia="Times New Roman" w:hAnsi="Arial" w:cs="Arial"/>
          <w:b/>
          <w:color w:val="C45911" w:themeColor="accent2" w:themeShade="BF"/>
          <w:sz w:val="24"/>
          <w:szCs w:val="24"/>
          <w:u w:val="single"/>
          <w:lang w:val="en-US"/>
        </w:rPr>
        <w:t xml:space="preserve"> [This will be the last table as the season has finished]</w:t>
      </w:r>
    </w:p>
    <w:p w:rsidR="00DA6EAC" w:rsidRPr="005E363D" w:rsidRDefault="00DA6EAC" w:rsidP="005E363D">
      <w:pPr>
        <w:spacing w:after="0"/>
        <w:rPr>
          <w:rFonts w:asciiTheme="minorHAnsi" w:eastAsia="Times New Roman" w:hAnsiTheme="minorHAnsi" w:cstheme="minorHAnsi"/>
          <w:lang w:val="en-US"/>
        </w:rPr>
      </w:pPr>
      <w:r>
        <w:rPr>
          <w:noProof/>
          <w:lang w:eastAsia="en-ZA"/>
        </w:rPr>
        <w:drawing>
          <wp:inline distT="0" distB="0" distL="0" distR="0">
            <wp:extent cx="6562719" cy="1575303"/>
            <wp:effectExtent l="0" t="0" r="0" b="6350"/>
            <wp:docPr id="4" name="Picture 4" descr="cid:image004.png@01D59B17.0141C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9B17.0141CB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16282" cy="1588160"/>
                    </a:xfrm>
                    <a:prstGeom prst="rect">
                      <a:avLst/>
                    </a:prstGeom>
                    <a:noFill/>
                    <a:ln>
                      <a:noFill/>
                    </a:ln>
                  </pic:spPr>
                </pic:pic>
              </a:graphicData>
            </a:graphic>
          </wp:inline>
        </w:drawing>
      </w:r>
    </w:p>
    <w:sectPr w:rsidR="00DA6EAC" w:rsidRPr="005E363D"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9D8" w:rsidRDefault="000149D8" w:rsidP="00595E08">
      <w:pPr>
        <w:spacing w:after="0" w:line="240" w:lineRule="auto"/>
      </w:pPr>
      <w:r>
        <w:separator/>
      </w:r>
    </w:p>
  </w:endnote>
  <w:endnote w:type="continuationSeparator" w:id="0">
    <w:p w:rsidR="000149D8" w:rsidRDefault="000149D8"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75" w:rsidRPr="00EF7AA5" w:rsidRDefault="00DD3275" w:rsidP="00DD3275">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DD3275" w:rsidRPr="00EF7AA5" w:rsidRDefault="00DD3275" w:rsidP="00DD3275">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DD3275" w:rsidRDefault="00DD3275" w:rsidP="00DD3275">
    <w:pPr>
      <w:pStyle w:val="Footer"/>
      <w:jc w:val="center"/>
    </w:pPr>
    <w:r w:rsidRPr="00EF7AA5">
      <w:rPr>
        <w:rFonts w:ascii="Arial" w:hAnsi="Arial" w:cs="Arial"/>
        <w:b/>
        <w:color w:val="00B050"/>
        <w:sz w:val="21"/>
        <w:szCs w:val="21"/>
      </w:rPr>
      <w:t>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9D8" w:rsidRDefault="000149D8" w:rsidP="00595E08">
      <w:pPr>
        <w:spacing w:after="0" w:line="240" w:lineRule="auto"/>
      </w:pPr>
      <w:r>
        <w:separator/>
      </w:r>
    </w:p>
  </w:footnote>
  <w:footnote w:type="continuationSeparator" w:id="0">
    <w:p w:rsidR="000149D8" w:rsidRDefault="000149D8" w:rsidP="00595E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49D8"/>
    <w:rsid w:val="00031C21"/>
    <w:rsid w:val="00045FE2"/>
    <w:rsid w:val="00047EA1"/>
    <w:rsid w:val="000A39E7"/>
    <w:rsid w:val="000D7425"/>
    <w:rsid w:val="000E541C"/>
    <w:rsid w:val="000F5B14"/>
    <w:rsid w:val="00110F70"/>
    <w:rsid w:val="001218D8"/>
    <w:rsid w:val="00122FC7"/>
    <w:rsid w:val="00174465"/>
    <w:rsid w:val="00175734"/>
    <w:rsid w:val="001757E7"/>
    <w:rsid w:val="001A29BD"/>
    <w:rsid w:val="001B203D"/>
    <w:rsid w:val="001C679B"/>
    <w:rsid w:val="001D23E0"/>
    <w:rsid w:val="001D573C"/>
    <w:rsid w:val="001D69A2"/>
    <w:rsid w:val="002176D6"/>
    <w:rsid w:val="00225418"/>
    <w:rsid w:val="00230CA5"/>
    <w:rsid w:val="0023735C"/>
    <w:rsid w:val="002512C0"/>
    <w:rsid w:val="0028648D"/>
    <w:rsid w:val="00297526"/>
    <w:rsid w:val="002A3E51"/>
    <w:rsid w:val="002D122B"/>
    <w:rsid w:val="0030169A"/>
    <w:rsid w:val="00313CB1"/>
    <w:rsid w:val="00361403"/>
    <w:rsid w:val="003C27D4"/>
    <w:rsid w:val="003D70AB"/>
    <w:rsid w:val="003F0C6F"/>
    <w:rsid w:val="003F2574"/>
    <w:rsid w:val="003F6E31"/>
    <w:rsid w:val="003F7804"/>
    <w:rsid w:val="00455927"/>
    <w:rsid w:val="004645E1"/>
    <w:rsid w:val="00495189"/>
    <w:rsid w:val="004C529E"/>
    <w:rsid w:val="004E0F63"/>
    <w:rsid w:val="0050561C"/>
    <w:rsid w:val="00541EB1"/>
    <w:rsid w:val="00562B1F"/>
    <w:rsid w:val="005822CF"/>
    <w:rsid w:val="005859D8"/>
    <w:rsid w:val="00595E08"/>
    <w:rsid w:val="005B6970"/>
    <w:rsid w:val="005B7B5D"/>
    <w:rsid w:val="005E05EF"/>
    <w:rsid w:val="005E363D"/>
    <w:rsid w:val="005F2989"/>
    <w:rsid w:val="00600B79"/>
    <w:rsid w:val="006042E1"/>
    <w:rsid w:val="00611C22"/>
    <w:rsid w:val="00612231"/>
    <w:rsid w:val="006254FA"/>
    <w:rsid w:val="006302CB"/>
    <w:rsid w:val="0063644A"/>
    <w:rsid w:val="006412FF"/>
    <w:rsid w:val="0067189B"/>
    <w:rsid w:val="006852F9"/>
    <w:rsid w:val="00690E5D"/>
    <w:rsid w:val="0069320C"/>
    <w:rsid w:val="0069350E"/>
    <w:rsid w:val="006A0B6E"/>
    <w:rsid w:val="006E0A15"/>
    <w:rsid w:val="006E394D"/>
    <w:rsid w:val="00732CB3"/>
    <w:rsid w:val="00733B8B"/>
    <w:rsid w:val="00756592"/>
    <w:rsid w:val="00757321"/>
    <w:rsid w:val="00761318"/>
    <w:rsid w:val="007830CC"/>
    <w:rsid w:val="007958FA"/>
    <w:rsid w:val="007A6F34"/>
    <w:rsid w:val="007D4D85"/>
    <w:rsid w:val="007E360C"/>
    <w:rsid w:val="007E6B47"/>
    <w:rsid w:val="0081352C"/>
    <w:rsid w:val="00836320"/>
    <w:rsid w:val="0085133F"/>
    <w:rsid w:val="00852AAD"/>
    <w:rsid w:val="0087221E"/>
    <w:rsid w:val="008755FB"/>
    <w:rsid w:val="008756F8"/>
    <w:rsid w:val="008A23F8"/>
    <w:rsid w:val="008A3110"/>
    <w:rsid w:val="008B1479"/>
    <w:rsid w:val="008B5FDB"/>
    <w:rsid w:val="00912266"/>
    <w:rsid w:val="00940202"/>
    <w:rsid w:val="00953EE0"/>
    <w:rsid w:val="00954793"/>
    <w:rsid w:val="00954DBD"/>
    <w:rsid w:val="00955884"/>
    <w:rsid w:val="00956D1F"/>
    <w:rsid w:val="0097764C"/>
    <w:rsid w:val="009A1B72"/>
    <w:rsid w:val="009D0040"/>
    <w:rsid w:val="009D709A"/>
    <w:rsid w:val="00A20F03"/>
    <w:rsid w:val="00A31AD6"/>
    <w:rsid w:val="00A320B1"/>
    <w:rsid w:val="00A54595"/>
    <w:rsid w:val="00A837EA"/>
    <w:rsid w:val="00AA51FF"/>
    <w:rsid w:val="00AB5EC1"/>
    <w:rsid w:val="00AC7D19"/>
    <w:rsid w:val="00B0109A"/>
    <w:rsid w:val="00B04E97"/>
    <w:rsid w:val="00B06DA7"/>
    <w:rsid w:val="00B65EBE"/>
    <w:rsid w:val="00B673C4"/>
    <w:rsid w:val="00B84D8D"/>
    <w:rsid w:val="00BA3973"/>
    <w:rsid w:val="00BB0DE8"/>
    <w:rsid w:val="00BB4B0B"/>
    <w:rsid w:val="00BC0F93"/>
    <w:rsid w:val="00BE1805"/>
    <w:rsid w:val="00BF0FF8"/>
    <w:rsid w:val="00BF1983"/>
    <w:rsid w:val="00C02E4C"/>
    <w:rsid w:val="00C13B9E"/>
    <w:rsid w:val="00C35B43"/>
    <w:rsid w:val="00C41489"/>
    <w:rsid w:val="00C510B2"/>
    <w:rsid w:val="00C51114"/>
    <w:rsid w:val="00C53E25"/>
    <w:rsid w:val="00CB303A"/>
    <w:rsid w:val="00CF5E26"/>
    <w:rsid w:val="00D0558A"/>
    <w:rsid w:val="00D219B0"/>
    <w:rsid w:val="00D278A3"/>
    <w:rsid w:val="00D67D4B"/>
    <w:rsid w:val="00D84A21"/>
    <w:rsid w:val="00D94669"/>
    <w:rsid w:val="00DA0CE9"/>
    <w:rsid w:val="00DA6EAC"/>
    <w:rsid w:val="00DC4F50"/>
    <w:rsid w:val="00DD3275"/>
    <w:rsid w:val="00E017AC"/>
    <w:rsid w:val="00E0676F"/>
    <w:rsid w:val="00E14724"/>
    <w:rsid w:val="00E31082"/>
    <w:rsid w:val="00E3323F"/>
    <w:rsid w:val="00E40090"/>
    <w:rsid w:val="00EA7106"/>
    <w:rsid w:val="00EA717C"/>
    <w:rsid w:val="00ED209B"/>
    <w:rsid w:val="00EE395A"/>
    <w:rsid w:val="00F208EC"/>
    <w:rsid w:val="00F34519"/>
    <w:rsid w:val="00F40554"/>
    <w:rsid w:val="00F679DE"/>
    <w:rsid w:val="00F867C4"/>
    <w:rsid w:val="00FA6F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E6CF"/>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cid:image004.png@01D59B17.0141CBE0" TargetMode="External"/><Relationship Id="rId4" Type="http://schemas.openxmlformats.org/officeDocument/2006/relationships/footnotes" Target="footnote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ortia\Google%20Drive\Documents\2019%20Season%20Summaries\1_Portia\Focus%20Groups\Navel%20Working%20book.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Portia\Google%20Drive\Documents\2019%20Season%20Summaries\1_Portia\Focus%20Groups\Navel%20Working%20boo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Southern African Navel Exports 15kg Cartons</a:t>
            </a:r>
          </a:p>
        </c:rich>
      </c:tx>
      <c:layout>
        <c:manualLayout>
          <c:xMode val="edge"/>
          <c:yMode val="edge"/>
          <c:x val="0.16267738936615853"/>
          <c:y val="8.2069905545348082E-4"/>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19069316714208"/>
          <c:y val="0.13885421949374971"/>
          <c:w val="0.84907666166006701"/>
          <c:h val="0.7234908008410128"/>
        </c:manualLayout>
      </c:layout>
      <c:barChart>
        <c:barDir val="col"/>
        <c:grouping val="clustered"/>
        <c:varyColors val="0"/>
        <c:ser>
          <c:idx val="0"/>
          <c:order val="0"/>
          <c:tx>
            <c:strRef>
              <c:f>'C:\Users\Portia\Google Drive\Documents\2019 Season Summaries\1_Portia\[2019 Citrus data and graphs.xlsx]Navels'!$B$18:$B$20</c:f>
              <c:strCache>
                <c:ptCount val="1"/>
                <c:pt idx="0">
                  <c:v>Navels Grand Total</c:v>
                </c:pt>
              </c:strCache>
            </c:strRef>
          </c:tx>
          <c:spPr>
            <a:solidFill>
              <a:srgbClr val="FFC000"/>
            </a:solidFill>
            <a:ln>
              <a:noFill/>
            </a:ln>
            <a:effectLst/>
          </c:spPr>
          <c:invertIfNegative val="0"/>
          <c:dPt>
            <c:idx val="4"/>
            <c:invertIfNegative val="0"/>
            <c:bubble3D val="0"/>
            <c:extLst>
              <c:ext xmlns:c16="http://schemas.microsoft.com/office/drawing/2014/chart" uri="{C3380CC4-5D6E-409C-BE32-E72D297353CC}">
                <c16:uniqueId val="{00000000-5A77-4485-A830-C49B65E8B981}"/>
              </c:ext>
            </c:extLst>
          </c:dPt>
          <c:dPt>
            <c:idx val="5"/>
            <c:invertIfNegative val="0"/>
            <c:bubble3D val="0"/>
            <c:extLst>
              <c:ext xmlns:c16="http://schemas.microsoft.com/office/drawing/2014/chart" uri="{C3380CC4-5D6E-409C-BE32-E72D297353CC}">
                <c16:uniqueId val="{00000001-5A77-4485-A830-C49B65E8B981}"/>
              </c:ext>
            </c:extLst>
          </c:dPt>
          <c:dPt>
            <c:idx val="8"/>
            <c:invertIfNegative val="0"/>
            <c:bubble3D val="0"/>
            <c:extLst>
              <c:ext xmlns:c16="http://schemas.microsoft.com/office/drawing/2014/chart" uri="{C3380CC4-5D6E-409C-BE32-E72D297353CC}">
                <c16:uniqueId val="{00000002-5A77-4485-A830-C49B65E8B981}"/>
              </c:ext>
            </c:extLst>
          </c:dPt>
          <c:dPt>
            <c:idx val="9"/>
            <c:invertIfNegative val="0"/>
            <c:bubble3D val="0"/>
            <c:spPr>
              <a:pattFill prst="trellis">
                <a:fgClr>
                  <a:srgbClr val="FF3300"/>
                </a:fgClr>
                <a:bgClr>
                  <a:sysClr val="window" lastClr="FFFFFF"/>
                </a:bgClr>
              </a:pattFill>
              <a:ln>
                <a:noFill/>
              </a:ln>
              <a:effectLst/>
            </c:spPr>
            <c:extLst>
              <c:ext xmlns:c16="http://schemas.microsoft.com/office/drawing/2014/chart" uri="{C3380CC4-5D6E-409C-BE32-E72D297353CC}">
                <c16:uniqueId val="{00000004-5A77-4485-A830-C49B65E8B981}"/>
              </c:ext>
            </c:extLst>
          </c:dPt>
          <c:dLbls>
            <c:delete val="1"/>
          </c:dLbls>
          <c:cat>
            <c:strRef>
              <c:f>[2]Navels!$A$26:$A$36</c:f>
              <c:strCache>
                <c:ptCount val="10"/>
                <c:pt idx="0">
                  <c:v>2010</c:v>
                </c:pt>
                <c:pt idx="1">
                  <c:v>2011</c:v>
                </c:pt>
                <c:pt idx="2">
                  <c:v>2012</c:v>
                </c:pt>
                <c:pt idx="3">
                  <c:v>2013</c:v>
                </c:pt>
                <c:pt idx="4">
                  <c:v>2014</c:v>
                </c:pt>
                <c:pt idx="5">
                  <c:v>2015</c:v>
                </c:pt>
                <c:pt idx="6">
                  <c:v>2016</c:v>
                </c:pt>
                <c:pt idx="7">
                  <c:v>2017</c:v>
                </c:pt>
                <c:pt idx="8">
                  <c:v>2018</c:v>
                </c:pt>
                <c:pt idx="9">
                  <c:v>2019</c:v>
                </c:pt>
              </c:strCache>
              <c:extLst/>
            </c:strRef>
          </c:cat>
          <c:val>
            <c:numRef>
              <c:f>[2]Navels!$B$26:$B$36</c:f>
              <c:numCache>
                <c:formatCode>General</c:formatCode>
                <c:ptCount val="10"/>
                <c:pt idx="0">
                  <c:v>22937790</c:v>
                </c:pt>
                <c:pt idx="1">
                  <c:v>21158307.046666667</c:v>
                </c:pt>
                <c:pt idx="2">
                  <c:v>24554405</c:v>
                </c:pt>
                <c:pt idx="3">
                  <c:v>25418888</c:v>
                </c:pt>
                <c:pt idx="4">
                  <c:v>25916170</c:v>
                </c:pt>
                <c:pt idx="5">
                  <c:v>24460858</c:v>
                </c:pt>
                <c:pt idx="6">
                  <c:v>26197351</c:v>
                </c:pt>
                <c:pt idx="7">
                  <c:v>21053878</c:v>
                </c:pt>
                <c:pt idx="8">
                  <c:v>26731377</c:v>
                </c:pt>
                <c:pt idx="9">
                  <c:v>24283857</c:v>
                </c:pt>
              </c:numCache>
              <c:extLst/>
            </c:numRef>
          </c:val>
          <c:extLst>
            <c:ext xmlns:c16="http://schemas.microsoft.com/office/drawing/2014/chart" uri="{C3380CC4-5D6E-409C-BE32-E72D297353CC}">
              <c16:uniqueId val="{00000005-5A77-4485-A830-C49B65E8B981}"/>
            </c:ext>
          </c:extLst>
        </c:ser>
        <c:dLbls>
          <c:dLblPos val="outEnd"/>
          <c:showLegendKey val="0"/>
          <c:showVal val="1"/>
          <c:showCatName val="0"/>
          <c:showSerName val="0"/>
          <c:showPercent val="0"/>
          <c:showBubbleSize val="0"/>
        </c:dLbls>
        <c:gapWidth val="219"/>
        <c:overlap val="-27"/>
        <c:axId val="554735728"/>
        <c:axId val="554736512"/>
      </c:barChart>
      <c:catAx>
        <c:axId val="55473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736512"/>
        <c:crosses val="autoZero"/>
        <c:auto val="1"/>
        <c:lblAlgn val="ctr"/>
        <c:lblOffset val="100"/>
        <c:noMultiLvlLbl val="0"/>
      </c:catAx>
      <c:valAx>
        <c:axId val="55473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4735728"/>
        <c:crosses val="autoZero"/>
        <c:crossBetween val="between"/>
        <c:dispUnits>
          <c:builtInUnit val="millions"/>
          <c:dispUnitsLbl>
            <c:layout>
              <c:manualLayout>
                <c:xMode val="edge"/>
                <c:yMode val="edge"/>
                <c:x val="8.9548728172847598E-4"/>
                <c:y val="0.23589612144237981"/>
              </c:manualLayout>
            </c:layout>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Million 15kg Cartons</a:t>
                  </a:r>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ZA" sz="1200"/>
              <a:t>Top</a:t>
            </a:r>
            <a:r>
              <a:rPr lang="en-ZA" sz="1200" baseline="0"/>
              <a:t> 5 Importing Countries </a:t>
            </a:r>
            <a:endParaRPr lang="en-ZA"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529879157596769"/>
          <c:y val="0.21655759162303667"/>
          <c:w val="0.77294271663141079"/>
          <c:h val="0.4557370037514944"/>
        </c:manualLayout>
      </c:layout>
      <c:barChart>
        <c:barDir val="col"/>
        <c:grouping val="clustered"/>
        <c:varyColors val="0"/>
        <c:ser>
          <c:idx val="0"/>
          <c:order val="0"/>
          <c:tx>
            <c:strRef>
              <c:f>Sheet1!$C$25</c:f>
              <c:strCache>
                <c:ptCount val="1"/>
                <c:pt idx="0">
                  <c:v>2019</c:v>
                </c:pt>
              </c:strCache>
            </c:strRef>
          </c:tx>
          <c:spPr>
            <a:solidFill>
              <a:srgbClr val="FF3300"/>
            </a:solidFill>
            <a:ln>
              <a:noFill/>
            </a:ln>
            <a:effectLst/>
          </c:spPr>
          <c:invertIfNegative val="0"/>
          <c:cat>
            <c:strRef>
              <c:f>Sheet1!$B$26:$B$30</c:f>
              <c:strCache>
                <c:ptCount val="5"/>
                <c:pt idx="0">
                  <c:v>Netherlands</c:v>
                </c:pt>
                <c:pt idx="1">
                  <c:v>Saudi Arabia</c:v>
                </c:pt>
                <c:pt idx="2">
                  <c:v>UAE</c:v>
                </c:pt>
                <c:pt idx="3">
                  <c:v>China</c:v>
                </c:pt>
                <c:pt idx="4">
                  <c:v>Russia</c:v>
                </c:pt>
              </c:strCache>
            </c:strRef>
          </c:cat>
          <c:val>
            <c:numRef>
              <c:f>Sheet1!$C$26:$C$30</c:f>
              <c:numCache>
                <c:formatCode>0</c:formatCode>
                <c:ptCount val="5"/>
                <c:pt idx="0">
                  <c:v>56592.084600000002</c:v>
                </c:pt>
                <c:pt idx="1">
                  <c:v>33078.356699999997</c:v>
                </c:pt>
                <c:pt idx="2">
                  <c:v>29952.8292</c:v>
                </c:pt>
                <c:pt idx="3">
                  <c:v>29142.874950000001</c:v>
                </c:pt>
                <c:pt idx="4">
                  <c:v>24321.888149999999</c:v>
                </c:pt>
              </c:numCache>
            </c:numRef>
          </c:val>
          <c:extLst>
            <c:ext xmlns:c16="http://schemas.microsoft.com/office/drawing/2014/chart" uri="{C3380CC4-5D6E-409C-BE32-E72D297353CC}">
              <c16:uniqueId val="{00000000-F56D-4776-8FA1-B3D1698724AB}"/>
            </c:ext>
          </c:extLst>
        </c:ser>
        <c:ser>
          <c:idx val="1"/>
          <c:order val="1"/>
          <c:tx>
            <c:strRef>
              <c:f>Sheet1!$D$25</c:f>
              <c:strCache>
                <c:ptCount val="1"/>
                <c:pt idx="0">
                  <c:v>2018</c:v>
                </c:pt>
              </c:strCache>
            </c:strRef>
          </c:tx>
          <c:spPr>
            <a:solidFill>
              <a:srgbClr val="FFC000"/>
            </a:solidFill>
            <a:ln>
              <a:noFill/>
            </a:ln>
            <a:effectLst/>
          </c:spPr>
          <c:invertIfNegative val="0"/>
          <c:cat>
            <c:strRef>
              <c:f>Sheet1!$B$26:$B$30</c:f>
              <c:strCache>
                <c:ptCount val="5"/>
                <c:pt idx="0">
                  <c:v>Netherlands</c:v>
                </c:pt>
                <c:pt idx="1">
                  <c:v>Saudi Arabia</c:v>
                </c:pt>
                <c:pt idx="2">
                  <c:v>UAE</c:v>
                </c:pt>
                <c:pt idx="3">
                  <c:v>China</c:v>
                </c:pt>
                <c:pt idx="4">
                  <c:v>Russia</c:v>
                </c:pt>
              </c:strCache>
            </c:strRef>
          </c:cat>
          <c:val>
            <c:numRef>
              <c:f>Sheet1!$D$26:$D$30</c:f>
              <c:numCache>
                <c:formatCode>0</c:formatCode>
                <c:ptCount val="5"/>
                <c:pt idx="0">
                  <c:v>63034.408049999998</c:v>
                </c:pt>
                <c:pt idx="1">
                  <c:v>43491.798899999994</c:v>
                </c:pt>
                <c:pt idx="2">
                  <c:v>37294.253400000001</c:v>
                </c:pt>
                <c:pt idx="3">
                  <c:v>30034.862399999998</c:v>
                </c:pt>
                <c:pt idx="4">
                  <c:v>19307.117549999999</c:v>
                </c:pt>
              </c:numCache>
            </c:numRef>
          </c:val>
          <c:extLst>
            <c:ext xmlns:c16="http://schemas.microsoft.com/office/drawing/2014/chart" uri="{C3380CC4-5D6E-409C-BE32-E72D297353CC}">
              <c16:uniqueId val="{00000001-F56D-4776-8FA1-B3D1698724AB}"/>
            </c:ext>
          </c:extLst>
        </c:ser>
        <c:dLbls>
          <c:showLegendKey val="0"/>
          <c:showVal val="0"/>
          <c:showCatName val="0"/>
          <c:showSerName val="0"/>
          <c:showPercent val="0"/>
          <c:showBubbleSize val="0"/>
        </c:dLbls>
        <c:gapWidth val="219"/>
        <c:overlap val="-27"/>
        <c:axId val="414720200"/>
        <c:axId val="414718232"/>
      </c:barChart>
      <c:catAx>
        <c:axId val="414720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718232"/>
        <c:crosses val="autoZero"/>
        <c:auto val="1"/>
        <c:lblAlgn val="ctr"/>
        <c:lblOffset val="100"/>
        <c:noMultiLvlLbl val="0"/>
      </c:catAx>
      <c:valAx>
        <c:axId val="414718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Tonnes</a:t>
                </a:r>
              </a:p>
            </c:rich>
          </c:tx>
          <c:layout>
            <c:manualLayout>
              <c:xMode val="edge"/>
              <c:yMode val="edge"/>
              <c:x val="9.751340809361287E-3"/>
              <c:y val="0.3477475574061095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720200"/>
        <c:crosses val="autoZero"/>
        <c:crossBetween val="between"/>
      </c:valAx>
      <c:spPr>
        <a:noFill/>
        <a:ln>
          <a:noFill/>
        </a:ln>
        <a:effectLst/>
      </c:spPr>
    </c:plotArea>
    <c:legend>
      <c:legendPos val="b"/>
      <c:layout>
        <c:manualLayout>
          <c:xMode val="edge"/>
          <c:yMode val="edge"/>
          <c:x val="0.37550898162269591"/>
          <c:y val="0.86252834233417153"/>
          <c:w val="0.23011290965482903"/>
          <c:h val="0.103528331964639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0.00365</cdr:x>
      <cdr:y>0.30556</cdr:y>
    </cdr:from>
    <cdr:to>
      <cdr:x>0.04015</cdr:x>
      <cdr:y>0.80903</cdr:y>
    </cdr:to>
    <cdr:sp macro="" textlink="">
      <cdr:nvSpPr>
        <cdr:cNvPr id="2" name="TextBox 1"/>
        <cdr:cNvSpPr txBox="1"/>
      </cdr:nvSpPr>
      <cdr:spPr>
        <a:xfrm xmlns:a="http://schemas.openxmlformats.org/drawingml/2006/main">
          <a:off x="26075" y="920517"/>
          <a:ext cx="260747" cy="1516733"/>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endParaRPr lang="en-ZA" sz="14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5</cp:revision>
  <dcterms:created xsi:type="dcterms:W3CDTF">2019-11-14T13:01:00Z</dcterms:created>
  <dcterms:modified xsi:type="dcterms:W3CDTF">2019-11-15T13:00:00Z</dcterms:modified>
</cp:coreProperties>
</file>