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98" w:type="pct"/>
        <w:tblCellSpacing w:w="0" w:type="dxa"/>
        <w:tblInd w:w="-743" w:type="dxa"/>
        <w:tblLayout w:type="fixed"/>
        <w:tblCellMar>
          <w:top w:w="15" w:type="dxa"/>
          <w:bottom w:w="15" w:type="dxa"/>
        </w:tblCellMar>
        <w:tblLook w:val="00A0" w:firstRow="1" w:lastRow="0" w:firstColumn="1" w:lastColumn="0" w:noHBand="0" w:noVBand="0"/>
      </w:tblPr>
      <w:tblGrid>
        <w:gridCol w:w="10242"/>
      </w:tblGrid>
      <w:tr w:rsidR="00F553C7" w:rsidRPr="00901D81" w:rsidTr="00E865AC">
        <w:trPr>
          <w:trHeight w:val="15677"/>
          <w:tblCellSpacing w:w="0" w:type="dxa"/>
        </w:trPr>
        <w:tc>
          <w:tcPr>
            <w:tcW w:w="10242" w:type="dxa"/>
            <w:shd w:val="clear" w:color="auto" w:fill="auto"/>
            <w:vAlign w:val="center"/>
          </w:tcPr>
          <w:tbl>
            <w:tblPr>
              <w:tblW w:w="10518"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518"/>
            </w:tblGrid>
            <w:tr w:rsidR="00F553C7" w:rsidRPr="008C6E3A" w:rsidTr="003039B7">
              <w:trPr>
                <w:trHeight w:val="982"/>
                <w:tblCellSpacing w:w="0" w:type="dxa"/>
              </w:trPr>
              <w:tc>
                <w:tcPr>
                  <w:tcW w:w="10518"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6B457B">
                                          <w:rPr>
                                            <w:rFonts w:ascii="Comic Sans MS" w:hAnsi="Comic Sans MS"/>
                                            <w:b/>
                                            <w:i/>
                                            <w:sz w:val="32"/>
                                            <w:szCs w:val="32"/>
                                          </w:rPr>
                                          <w:t xml:space="preserve"> (46</w:t>
                                        </w:r>
                                        <w:r>
                                          <w:rPr>
                                            <w:rFonts w:ascii="Comic Sans MS" w:hAnsi="Comic Sans MS"/>
                                            <w:b/>
                                            <w:i/>
                                            <w:sz w:val="32"/>
                                            <w:szCs w:val="32"/>
                                          </w:rPr>
                                          <w:t>/17)</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Justin Chadwick 1 December</w:t>
                                        </w:r>
                                        <w:r w:rsidR="00783644">
                                          <w:rPr>
                                            <w:rFonts w:ascii="Comic Sans MS" w:hAnsi="Comic Sans MS"/>
                                            <w:i/>
                                            <w:sz w:val="20"/>
                                            <w:szCs w:val="20"/>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6B457B">
                                    <w:rPr>
                                      <w:rFonts w:ascii="Comic Sans MS" w:hAnsi="Comic Sans MS"/>
                                      <w:b/>
                                      <w:i/>
                                      <w:sz w:val="32"/>
                                      <w:szCs w:val="32"/>
                                    </w:rPr>
                                    <w:t xml:space="preserve"> (46</w:t>
                                  </w:r>
                                  <w:r>
                                    <w:rPr>
                                      <w:rFonts w:ascii="Comic Sans MS" w:hAnsi="Comic Sans MS"/>
                                      <w:b/>
                                      <w:i/>
                                      <w:sz w:val="32"/>
                                      <w:szCs w:val="32"/>
                                    </w:rPr>
                                    <w:t>/17)</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Justin Chadwick 1 December</w:t>
                                  </w:r>
                                  <w:r w:rsidR="00783644">
                                    <w:rPr>
                                      <w:rFonts w:ascii="Comic Sans MS" w:hAnsi="Comic Sans MS"/>
                                      <w:i/>
                                      <w:sz w:val="20"/>
                                      <w:szCs w:val="20"/>
                                    </w:rPr>
                                    <w:t xml:space="preserve"> 2017</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3039B7">
              <w:trPr>
                <w:trHeight w:val="30"/>
                <w:tblCellSpacing w:w="0" w:type="dxa"/>
              </w:trPr>
              <w:tc>
                <w:tcPr>
                  <w:tcW w:w="10518"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802937" w:rsidRPr="0032083B" w:rsidRDefault="00D42FAB" w:rsidP="00A4284E">
            <w:pPr>
              <w:spacing w:after="0"/>
              <w:rPr>
                <w:rFonts w:ascii="Arial" w:eastAsia="Times New Roman" w:hAnsi="Arial" w:cs="Arial"/>
                <w:b/>
                <w:i/>
                <w:color w:val="181818"/>
                <w:sz w:val="24"/>
                <w:szCs w:val="24"/>
                <w:lang w:val="en-US"/>
              </w:rPr>
            </w:pPr>
            <w:r w:rsidRPr="0032083B">
              <w:rPr>
                <w:rFonts w:ascii="Arial" w:eastAsia="Times New Roman" w:hAnsi="Arial" w:cs="Arial"/>
                <w:b/>
                <w:i/>
                <w:color w:val="181818"/>
                <w:sz w:val="24"/>
                <w:szCs w:val="24"/>
                <w:lang w:val="en-US"/>
              </w:rPr>
              <w:t>“</w:t>
            </w:r>
            <w:r w:rsidR="00354386">
              <w:rPr>
                <w:rFonts w:ascii="Arial" w:eastAsia="Times New Roman" w:hAnsi="Arial" w:cs="Arial"/>
                <w:b/>
                <w:i/>
                <w:color w:val="181818"/>
                <w:sz w:val="24"/>
                <w:szCs w:val="24"/>
                <w:lang w:val="en-US"/>
              </w:rPr>
              <w:t>Success is not final, failure is not fatal; it is the courage to continue that counts” Winston Churchill</w:t>
            </w:r>
          </w:p>
          <w:p w:rsidR="00802937" w:rsidRPr="00802937" w:rsidRDefault="00802937" w:rsidP="00A4284E">
            <w:pPr>
              <w:spacing w:after="0"/>
              <w:rPr>
                <w:rFonts w:ascii="Arial" w:eastAsia="Times New Roman" w:hAnsi="Arial" w:cs="Arial"/>
                <w:b/>
                <w:i/>
                <w:color w:val="181818"/>
                <w:sz w:val="6"/>
                <w:szCs w:val="6"/>
                <w:lang w:val="en-US"/>
              </w:rPr>
            </w:pPr>
          </w:p>
          <w:p w:rsidR="00346FD1" w:rsidRDefault="00E378A9" w:rsidP="00A4284E">
            <w:pPr>
              <w:spacing w:after="0"/>
              <w:rPr>
                <w:rFonts w:ascii="Arial" w:eastAsia="Times New Roman" w:hAnsi="Arial" w:cs="Arial"/>
                <w:b/>
                <w:color w:val="C45911" w:themeColor="accent2" w:themeShade="BF"/>
                <w:sz w:val="24"/>
                <w:szCs w:val="24"/>
                <w:u w:val="single"/>
                <w:lang w:val="en-US"/>
              </w:rPr>
            </w:pPr>
            <w:r>
              <w:rPr>
                <w:rFonts w:ascii="Arial" w:eastAsia="Times New Roman" w:hAnsi="Arial" w:cs="Arial"/>
                <w:b/>
                <w:color w:val="C45911" w:themeColor="accent2" w:themeShade="BF"/>
                <w:sz w:val="24"/>
                <w:szCs w:val="24"/>
                <w:u w:val="single"/>
                <w:lang w:val="en-US"/>
              </w:rPr>
              <w:t>GRAPEFRUIT REVIE</w:t>
            </w:r>
            <w:r w:rsidR="004B1942">
              <w:rPr>
                <w:rFonts w:ascii="Arial" w:eastAsia="Times New Roman" w:hAnsi="Arial" w:cs="Arial"/>
                <w:b/>
                <w:color w:val="C45911" w:themeColor="accent2" w:themeShade="BF"/>
                <w:sz w:val="24"/>
                <w:szCs w:val="24"/>
                <w:u w:val="single"/>
                <w:lang w:val="en-US"/>
              </w:rPr>
              <w:t xml:space="preserve">W </w:t>
            </w:r>
          </w:p>
          <w:p w:rsidR="00E378A9" w:rsidRPr="00E865AC" w:rsidRDefault="00E378A9" w:rsidP="00A4284E">
            <w:pPr>
              <w:spacing w:after="0"/>
              <w:rPr>
                <w:rFonts w:ascii="Arial" w:eastAsia="Times New Roman" w:hAnsi="Arial" w:cs="Arial"/>
                <w:b/>
                <w:color w:val="C45911" w:themeColor="accent2" w:themeShade="BF"/>
                <w:u w:val="single"/>
                <w:lang w:val="en-US"/>
              </w:rPr>
            </w:pPr>
            <w:r w:rsidRPr="00E865AC">
              <w:rPr>
                <w:rFonts w:ascii="Arial" w:eastAsia="Times New Roman" w:hAnsi="Arial" w:cs="Arial"/>
                <w:lang w:val="en-US"/>
              </w:rPr>
              <w:t xml:space="preserve">After lurking in the doldrums to 2012, the last 5 years have been good for the grapefruit industry. Grapefruit growers will tell you that the commodity still owes them a bit for the difficulties experienced before </w:t>
            </w:r>
            <w:r w:rsidR="00E64FC2" w:rsidRPr="00E865AC">
              <w:rPr>
                <w:rFonts w:ascii="Arial" w:eastAsia="Times New Roman" w:hAnsi="Arial" w:cs="Arial"/>
                <w:lang w:val="en-US"/>
              </w:rPr>
              <w:t>2012;</w:t>
            </w:r>
            <w:r w:rsidRPr="00E865AC">
              <w:rPr>
                <w:rFonts w:ascii="Arial" w:eastAsia="Times New Roman" w:hAnsi="Arial" w:cs="Arial"/>
                <w:lang w:val="en-US"/>
              </w:rPr>
              <w:t xml:space="preserve"> however, the turnaround bodes well for the future. Renewed interest in the category is confirmed through higher demand for grapefruit buds from the Citrus Foundation Black (CFB), and higher demand for nursery trees. The resurgence </w:t>
            </w:r>
            <w:r w:rsidR="00E64FC2" w:rsidRPr="00E865AC">
              <w:rPr>
                <w:rFonts w:ascii="Arial" w:eastAsia="Times New Roman" w:hAnsi="Arial" w:cs="Arial"/>
                <w:lang w:val="en-US"/>
              </w:rPr>
              <w:t>has not</w:t>
            </w:r>
            <w:r w:rsidRPr="00E865AC">
              <w:rPr>
                <w:rFonts w:ascii="Arial" w:eastAsia="Times New Roman" w:hAnsi="Arial" w:cs="Arial"/>
                <w:lang w:val="en-US"/>
              </w:rPr>
              <w:t xml:space="preserve"> happened by chance, grapefruit growers under the guidance of the Grapefruit Focus Group have been diligent in monitoring grapefruit packed and shipped data, and passing information to growers </w:t>
            </w:r>
            <w:r w:rsidR="00E64FC2" w:rsidRPr="00E865AC">
              <w:rPr>
                <w:rFonts w:ascii="Arial" w:eastAsia="Times New Roman" w:hAnsi="Arial" w:cs="Arial"/>
                <w:lang w:val="en-US"/>
              </w:rPr>
              <w:t>to</w:t>
            </w:r>
            <w:r w:rsidRPr="00E865AC">
              <w:rPr>
                <w:rFonts w:ascii="Arial" w:eastAsia="Times New Roman" w:hAnsi="Arial" w:cs="Arial"/>
                <w:lang w:val="en-US"/>
              </w:rPr>
              <w:t xml:space="preserve"> ensure informed decisions are made. </w:t>
            </w:r>
            <w:r w:rsidR="00E64FC2" w:rsidRPr="00E865AC">
              <w:rPr>
                <w:rFonts w:ascii="Arial" w:eastAsia="Times New Roman" w:hAnsi="Arial" w:cs="Arial"/>
                <w:lang w:val="en-US"/>
              </w:rPr>
              <w:t>Obviously,</w:t>
            </w:r>
            <w:r w:rsidR="009A1402" w:rsidRPr="00E865AC">
              <w:rPr>
                <w:rFonts w:ascii="Arial" w:eastAsia="Times New Roman" w:hAnsi="Arial" w:cs="Arial"/>
                <w:lang w:val="en-US"/>
              </w:rPr>
              <w:t xml:space="preserve"> growers will continue to concentrate on the fresh export and local market sectors, as processed returns continue to disappoint.</w:t>
            </w:r>
          </w:p>
          <w:p w:rsidR="00E378A9" w:rsidRDefault="00E378A9" w:rsidP="008A1087">
            <w:pPr>
              <w:spacing w:after="0"/>
              <w:jc w:val="both"/>
              <w:rPr>
                <w:rFonts w:ascii="Arial" w:hAnsi="Arial" w:cs="Arial"/>
                <w:b/>
                <w:bCs/>
                <w:color w:val="C45911" w:themeColor="accent2" w:themeShade="BF"/>
                <w:sz w:val="24"/>
                <w:szCs w:val="24"/>
                <w:u w:val="single"/>
              </w:rPr>
            </w:pPr>
            <w:r>
              <w:rPr>
                <w:noProof/>
                <w:lang w:eastAsia="en-ZA"/>
              </w:rPr>
              <w:drawing>
                <wp:inline distT="0" distB="0" distL="0" distR="0" wp14:anchorId="5114536E" wp14:editId="67EF87A8">
                  <wp:extent cx="2057400" cy="2374900"/>
                  <wp:effectExtent l="0" t="0" r="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lang w:eastAsia="en-ZA"/>
              </w:rPr>
              <w:drawing>
                <wp:inline distT="0" distB="0" distL="0" distR="0" wp14:anchorId="0500C2B6" wp14:editId="2235029C">
                  <wp:extent cx="2044700" cy="2374900"/>
                  <wp:effectExtent l="0" t="0" r="1270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lang w:eastAsia="en-ZA"/>
              </w:rPr>
              <w:drawing>
                <wp:inline distT="0" distB="0" distL="0" distR="0" wp14:anchorId="211E617E" wp14:editId="74CB3FE8">
                  <wp:extent cx="2108200" cy="2387600"/>
                  <wp:effectExtent l="0" t="0" r="635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1087" w:rsidRPr="00250625" w:rsidRDefault="00E865AC" w:rsidP="008A1087">
            <w:pPr>
              <w:spacing w:after="0"/>
              <w:jc w:val="both"/>
              <w:rPr>
                <w:rFonts w:ascii="Arial" w:hAnsi="Arial" w:cs="Arial"/>
                <w:b/>
                <w:bCs/>
                <w:color w:val="C45911" w:themeColor="accent2" w:themeShade="BF"/>
                <w:sz w:val="24"/>
                <w:szCs w:val="24"/>
                <w:u w:val="single"/>
              </w:rPr>
            </w:pPr>
            <w:r w:rsidRPr="00E865AC">
              <w:rPr>
                <w:rFonts w:ascii="Arial" w:hAnsi="Arial" w:cs="Arial"/>
                <w:noProof/>
                <w:sz w:val="6"/>
                <w:szCs w:val="6"/>
                <w:lang w:eastAsia="en-ZA"/>
              </w:rPr>
              <mc:AlternateContent>
                <mc:Choice Requires="wps">
                  <w:drawing>
                    <wp:anchor distT="45720" distB="45720" distL="114300" distR="114300" simplePos="0" relativeHeight="251662336" behindDoc="0" locked="0" layoutInCell="1" allowOverlap="1">
                      <wp:simplePos x="0" y="0"/>
                      <wp:positionH relativeFrom="column">
                        <wp:posOffset>4116070</wp:posOffset>
                      </wp:positionH>
                      <wp:positionV relativeFrom="paragraph">
                        <wp:posOffset>179705</wp:posOffset>
                      </wp:positionV>
                      <wp:extent cx="2260600" cy="20637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2063750"/>
                              </a:xfrm>
                              <a:prstGeom prst="rect">
                                <a:avLst/>
                              </a:prstGeom>
                              <a:solidFill>
                                <a:srgbClr val="FFFFFF"/>
                              </a:solidFill>
                              <a:ln w="9525">
                                <a:solidFill>
                                  <a:srgbClr val="000000"/>
                                </a:solidFill>
                                <a:miter lim="800000"/>
                                <a:headEnd/>
                                <a:tailEnd/>
                              </a:ln>
                            </wps:spPr>
                            <wps:txbx>
                              <w:txbxContent>
                                <w:p w:rsidR="00E865AC" w:rsidRPr="00E64FC2" w:rsidRDefault="00E865AC">
                                  <w:pPr>
                                    <w:rPr>
                                      <w:rFonts w:ascii="Arial" w:hAnsi="Arial" w:cs="Arial"/>
                                    </w:rPr>
                                  </w:pPr>
                                  <w:r w:rsidRPr="00E64FC2">
                                    <w:rPr>
                                      <w:rFonts w:ascii="Arial" w:hAnsi="Arial" w:cs="Arial"/>
                                    </w:rPr>
                                    <w:t>The 2005 season will be one long remembered by grapefruit exporters; a huge spike in supply coupled with poor (and sometimes negative) returns has cast its shadow over subsequent seasons. Only in 2013 did volumes return to similar levels, while those with alternative crop options exited the sector.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left:0;text-align:left;margin-left:324.1pt;margin-top:14.15pt;width:178pt;height:1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kBJwIAAE4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">
                      <v:textbox>
                        <w:txbxContent>
                          <w:p w:rsidR="00E865AC" w:rsidRPr="00E64FC2" w:rsidRDefault="00E865AC">
                            <w:pPr>
                              <w:rPr>
                                <w:rFonts w:ascii="Arial" w:hAnsi="Arial" w:cs="Arial"/>
                              </w:rPr>
                            </w:pPr>
                            <w:r w:rsidRPr="00E64FC2">
                              <w:rPr>
                                <w:rFonts w:ascii="Arial" w:hAnsi="Arial" w:cs="Arial"/>
                              </w:rPr>
                              <w:t>The 2005 season will be one long remembered by grapefruit exporters; a huge spike in supply coupled with poor (and sometimes negative) returns has cast its shadow over subsequent seasons. Only in 2013 did volumes return to similar levels, while those with alternative crop options exited the sector.</w:t>
                            </w:r>
                          </w:p>
                        </w:txbxContent>
                      </v:textbox>
                      <w10:wrap type="square"/>
                    </v:shape>
                  </w:pict>
                </mc:Fallback>
              </mc:AlternateContent>
            </w:r>
            <w:r w:rsidR="009A1402">
              <w:rPr>
                <w:rFonts w:ascii="Arial" w:hAnsi="Arial" w:cs="Arial"/>
                <w:b/>
                <w:bCs/>
                <w:color w:val="C45911" w:themeColor="accent2" w:themeShade="BF"/>
                <w:sz w:val="24"/>
                <w:szCs w:val="24"/>
                <w:u w:val="single"/>
              </w:rPr>
              <w:t>LONG TERM CHANGES</w:t>
            </w:r>
          </w:p>
          <w:p w:rsidR="0032083B" w:rsidRPr="0032083B" w:rsidRDefault="004B1942" w:rsidP="00D42FAB">
            <w:pPr>
              <w:spacing w:after="0"/>
              <w:jc w:val="both"/>
              <w:rPr>
                <w:rFonts w:ascii="Arial" w:hAnsi="Arial" w:cs="Arial"/>
                <w:sz w:val="6"/>
                <w:szCs w:val="6"/>
                <w:lang w:val="en-US"/>
              </w:rPr>
            </w:pPr>
            <w:r>
              <w:rPr>
                <w:noProof/>
                <w:lang w:eastAsia="en-ZA"/>
              </w:rPr>
              <w:drawing>
                <wp:inline distT="0" distB="0" distL="0" distR="0" wp14:anchorId="310C965B" wp14:editId="19BC3C65">
                  <wp:extent cx="2057400" cy="2044700"/>
                  <wp:effectExtent l="0" t="0" r="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865AC">
              <w:rPr>
                <w:noProof/>
                <w:lang w:eastAsia="en-ZA"/>
              </w:rPr>
              <w:drawing>
                <wp:inline distT="0" distB="0" distL="0" distR="0" wp14:anchorId="5790B360" wp14:editId="645DEFAA">
                  <wp:extent cx="1936750" cy="2057400"/>
                  <wp:effectExtent l="0" t="0" r="63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65AC" w:rsidRDefault="00E865AC" w:rsidP="00E865AC">
            <w:pPr>
              <w:spacing w:after="0"/>
              <w:rPr>
                <w:rFonts w:ascii="Arial" w:hAnsi="Arial" w:cs="Arial"/>
                <w:b/>
                <w:color w:val="FF0000"/>
                <w:sz w:val="18"/>
                <w:szCs w:val="18"/>
              </w:rPr>
            </w:pPr>
          </w:p>
          <w:p w:rsidR="00E865AC" w:rsidRDefault="00E865AC" w:rsidP="00E865AC">
            <w:pPr>
              <w:spacing w:after="0"/>
              <w:rPr>
                <w:rFonts w:ascii="Arial" w:hAnsi="Arial" w:cs="Arial"/>
                <w:b/>
                <w:bCs/>
                <w:color w:val="C45911" w:themeColor="accent2" w:themeShade="BF"/>
                <w:sz w:val="24"/>
                <w:szCs w:val="24"/>
                <w:u w:val="single"/>
              </w:rPr>
            </w:pPr>
            <w:r>
              <w:rPr>
                <w:rFonts w:ascii="Arial" w:hAnsi="Arial" w:cs="Arial"/>
                <w:b/>
                <w:bCs/>
                <w:color w:val="C45911" w:themeColor="accent2" w:themeShade="BF"/>
                <w:sz w:val="24"/>
                <w:szCs w:val="24"/>
                <w:u w:val="single"/>
              </w:rPr>
              <w:t>GRAPEFRUIT SHIPPING 2017</w:t>
            </w:r>
          </w:p>
          <w:p w:rsidR="00E865AC" w:rsidRPr="00E64FC2" w:rsidRDefault="00E865AC" w:rsidP="006B457B">
            <w:pPr>
              <w:spacing w:after="0"/>
              <w:rPr>
                <w:rFonts w:ascii="Arial" w:hAnsi="Arial" w:cs="Arial"/>
                <w:b/>
                <w:color w:val="FF0000"/>
              </w:rPr>
            </w:pPr>
            <w:r w:rsidRPr="00E64FC2">
              <w:rPr>
                <w:rFonts w:ascii="Arial" w:hAnsi="Arial" w:cs="Arial"/>
                <w:bCs/>
              </w:rPr>
              <w:t>After a low volume 2016 season, exports returned to 2015 levels; with a similar market distribution. The markets have reached some level of equilibrium – the EU is the biggest importer with 41% (5.5 million cartons); followed by Asia with 23% (3.1 m – predominantly to Japan). South East Asia is now receiving just under 2 m cartons (14%), while Russia is receiving just over 1 m cartons (</w:t>
            </w:r>
            <w:r w:rsidR="006B457B" w:rsidRPr="00E64FC2">
              <w:rPr>
                <w:rFonts w:ascii="Arial" w:hAnsi="Arial" w:cs="Arial"/>
                <w:bCs/>
              </w:rPr>
              <w:t>8%). Smaller quantities are sent to UK and North America (both</w:t>
            </w:r>
            <w:bookmarkStart w:id="0" w:name="_GoBack"/>
            <w:bookmarkEnd w:id="0"/>
            <w:r w:rsidR="006B457B" w:rsidRPr="00E64FC2">
              <w:rPr>
                <w:rFonts w:ascii="Arial" w:hAnsi="Arial" w:cs="Arial"/>
                <w:bCs/>
              </w:rPr>
              <w:t xml:space="preserve"> half a million cartons or 6%), and Middle East (300 000 cartons or 3%).</w:t>
            </w:r>
          </w:p>
          <w:p w:rsidR="00E865AC" w:rsidRDefault="00E865AC" w:rsidP="00AA44C4">
            <w:pPr>
              <w:spacing w:after="0"/>
              <w:jc w:val="center"/>
              <w:rPr>
                <w:rFonts w:ascii="Arial" w:hAnsi="Arial" w:cs="Arial"/>
                <w:b/>
                <w:color w:val="FF0000"/>
                <w:sz w:val="18"/>
                <w:szCs w:val="18"/>
              </w:rPr>
            </w:pPr>
          </w:p>
          <w:p w:rsidR="00AA44C4" w:rsidRPr="00AA44C4" w:rsidRDefault="00787727" w:rsidP="00AA44C4">
            <w:pPr>
              <w:spacing w:after="0"/>
              <w:jc w:val="center"/>
              <w:rPr>
                <w:rFonts w:ascii="Arial" w:hAnsi="Arial" w:cs="Arial"/>
                <w:b/>
                <w:color w:val="FF0000"/>
                <w:sz w:val="18"/>
                <w:szCs w:val="18"/>
              </w:rPr>
            </w:pPr>
            <w:r w:rsidRPr="00A05611">
              <w:rPr>
                <w:rFonts w:ascii="Arial" w:hAnsi="Arial" w:cs="Arial"/>
                <w:b/>
                <w:color w:val="FF0000"/>
                <w:sz w:val="18"/>
                <w:szCs w:val="18"/>
              </w:rPr>
              <w:t xml:space="preserve">THE CGA GROUP OF COMPANIES </w:t>
            </w:r>
            <w:r w:rsidR="00106E5C" w:rsidRPr="00A05611">
              <w:rPr>
                <w:rFonts w:ascii="Arial" w:hAnsi="Arial" w:cs="Arial"/>
                <w:b/>
                <w:color w:val="FF0000"/>
                <w:sz w:val="18"/>
                <w:szCs w:val="18"/>
              </w:rPr>
              <w:t xml:space="preserve">(CRI, RIVER BIOSCIENCE, XSIT, </w:t>
            </w:r>
            <w:r w:rsidRPr="00A05611">
              <w:rPr>
                <w:rFonts w:ascii="Arial" w:hAnsi="Arial" w:cs="Arial"/>
                <w:b/>
                <w:color w:val="FF0000"/>
                <w:sz w:val="18"/>
                <w:szCs w:val="18"/>
              </w:rPr>
              <w:t>CGA CULTIVAR COMPANY, CG</w:t>
            </w:r>
            <w:r w:rsidR="009C2513" w:rsidRPr="00A05611">
              <w:rPr>
                <w:rFonts w:ascii="Arial" w:hAnsi="Arial" w:cs="Arial"/>
                <w:b/>
                <w:color w:val="FF0000"/>
                <w:sz w:val="18"/>
                <w:szCs w:val="18"/>
              </w:rPr>
              <w:t>A GROWER DEVELOPMENT COMPANY &amp;</w:t>
            </w:r>
            <w:r w:rsidRPr="00A05611">
              <w:rPr>
                <w:rFonts w:ascii="Arial" w:hAnsi="Arial" w:cs="Arial"/>
                <w:b/>
                <w:color w:val="FF0000"/>
                <w:sz w:val="18"/>
                <w:szCs w:val="18"/>
              </w:rPr>
              <w:t xml:space="preserve"> CITRUS ACADEMY) ARE FUNDED BY</w:t>
            </w:r>
            <w:r w:rsidR="002500B2" w:rsidRPr="00A05611">
              <w:rPr>
                <w:rFonts w:ascii="Arial" w:hAnsi="Arial" w:cs="Arial"/>
                <w:b/>
                <w:color w:val="FF0000"/>
                <w:sz w:val="18"/>
                <w:szCs w:val="18"/>
              </w:rPr>
              <w:t xml:space="preserve"> </w:t>
            </w:r>
            <w:r w:rsidR="00FD155B" w:rsidRPr="00A05611">
              <w:rPr>
                <w:rFonts w:ascii="Arial" w:hAnsi="Arial" w:cs="Arial"/>
                <w:b/>
                <w:color w:val="FF0000"/>
                <w:sz w:val="18"/>
                <w:szCs w:val="18"/>
              </w:rPr>
              <w:t xml:space="preserve">SOUTHERN AFRICAN CITRUS GROWERS </w:t>
            </w:r>
          </w:p>
        </w:tc>
      </w:tr>
    </w:tbl>
    <w:p w:rsidR="00F553C7" w:rsidRPr="003363E1" w:rsidRDefault="00F553C7" w:rsidP="003039B7">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C0268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75pt" o:bullet="t">
        <v:imagedata r:id="rId1" o:title="cga"/>
      </v:shape>
    </w:pict>
  </w:numPicBullet>
  <w:abstractNum w:abstractNumId="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2E64"/>
    <w:rsid w:val="00013635"/>
    <w:rsid w:val="0001467F"/>
    <w:rsid w:val="00015287"/>
    <w:rsid w:val="0002011F"/>
    <w:rsid w:val="00020EDE"/>
    <w:rsid w:val="000210DD"/>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84C"/>
    <w:rsid w:val="00055AC2"/>
    <w:rsid w:val="00055AD9"/>
    <w:rsid w:val="00060122"/>
    <w:rsid w:val="00061C0E"/>
    <w:rsid w:val="00064F3C"/>
    <w:rsid w:val="0006507E"/>
    <w:rsid w:val="00065BD7"/>
    <w:rsid w:val="00065D8C"/>
    <w:rsid w:val="0006671B"/>
    <w:rsid w:val="000703F0"/>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50E1"/>
    <w:rsid w:val="00156F99"/>
    <w:rsid w:val="0015724E"/>
    <w:rsid w:val="00160F4C"/>
    <w:rsid w:val="0016126F"/>
    <w:rsid w:val="00162A6B"/>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39B7"/>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3E07"/>
    <w:rsid w:val="003A47D6"/>
    <w:rsid w:val="003A4F71"/>
    <w:rsid w:val="003A58F2"/>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EB6"/>
    <w:rsid w:val="004210A1"/>
    <w:rsid w:val="004216CF"/>
    <w:rsid w:val="00422D42"/>
    <w:rsid w:val="00423390"/>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6374"/>
    <w:rsid w:val="004A7885"/>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2638"/>
    <w:rsid w:val="00922AFB"/>
    <w:rsid w:val="00922DC7"/>
    <w:rsid w:val="00923692"/>
    <w:rsid w:val="00923D73"/>
    <w:rsid w:val="00927400"/>
    <w:rsid w:val="0093149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070B"/>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5423"/>
    <w:rsid w:val="009D6610"/>
    <w:rsid w:val="009D7302"/>
    <w:rsid w:val="009D7F54"/>
    <w:rsid w:val="009E0491"/>
    <w:rsid w:val="009E104C"/>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807E0"/>
    <w:rsid w:val="00A80A11"/>
    <w:rsid w:val="00A810E2"/>
    <w:rsid w:val="00A851D6"/>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0F79"/>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F80"/>
    <w:rsid w:val="00C32435"/>
    <w:rsid w:val="00C33118"/>
    <w:rsid w:val="00C341B8"/>
    <w:rsid w:val="00C342C5"/>
    <w:rsid w:val="00C34877"/>
    <w:rsid w:val="00C36713"/>
    <w:rsid w:val="00C3744E"/>
    <w:rsid w:val="00C375EC"/>
    <w:rsid w:val="00C37617"/>
    <w:rsid w:val="00C404B1"/>
    <w:rsid w:val="00C40625"/>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717D"/>
    <w:rsid w:val="00E80953"/>
    <w:rsid w:val="00E8177F"/>
    <w:rsid w:val="00E8306E"/>
    <w:rsid w:val="00E83960"/>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1060"/>
    <w:rsid w:val="00EC12B2"/>
    <w:rsid w:val="00EC12D1"/>
    <w:rsid w:val="00EC244E"/>
    <w:rsid w:val="00EC5A51"/>
    <w:rsid w:val="00EC64D7"/>
    <w:rsid w:val="00ED4605"/>
    <w:rsid w:val="00ED5254"/>
    <w:rsid w:val="00ED5F84"/>
    <w:rsid w:val="00ED6629"/>
    <w:rsid w:val="00ED7447"/>
    <w:rsid w:val="00EE1E28"/>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02C8"/>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7\Information\1_2017%20Stats%20Book_Print%20Draft%20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7\Information\1_2017%20Stats%20Book_Print%20Draft%20v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7\Information\1_2017%20Stats%20Book_Print%20Draft%20v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7\Information\1_2017%20Stats%20Book_Print%20Draft%20v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1\Information\1_2011%20Stats%20Book_Draft_print1.xls"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Export Earnings (R/Ton)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spPr>
            <a:ln w="28575" cap="rnd">
              <a:solidFill>
                <a:schemeClr val="accent1"/>
              </a:solidFill>
              <a:round/>
            </a:ln>
            <a:effectLst/>
          </c:spPr>
          <c:marker>
            <c:symbol val="none"/>
          </c:marker>
          <c:cat>
            <c:strRef>
              <c:f>p29daffp!$M$28:$M$38</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p29daffp!$N$28:$N$38</c:f>
              <c:numCache>
                <c:formatCode>#,##0</c:formatCode>
                <c:ptCount val="11"/>
                <c:pt idx="0">
                  <c:v>1764</c:v>
                </c:pt>
                <c:pt idx="1">
                  <c:v>2711.8714891436025</c:v>
                </c:pt>
                <c:pt idx="2">
                  <c:v>3658</c:v>
                </c:pt>
                <c:pt idx="3">
                  <c:v>1846</c:v>
                </c:pt>
                <c:pt idx="4">
                  <c:v>4351</c:v>
                </c:pt>
                <c:pt idx="5">
                  <c:v>3723</c:v>
                </c:pt>
                <c:pt idx="6">
                  <c:v>4370.8765021137779</c:v>
                </c:pt>
                <c:pt idx="7">
                  <c:v>5059.5733167279486</c:v>
                </c:pt>
                <c:pt idx="8">
                  <c:v>5246.7945507886252</c:v>
                </c:pt>
                <c:pt idx="9">
                  <c:v>6007</c:v>
                </c:pt>
                <c:pt idx="10">
                  <c:v>7897.8891627269895</c:v>
                </c:pt>
              </c:numCache>
            </c:numRef>
          </c:val>
          <c:smooth val="0"/>
          <c:extLst xmlns:c16r2="http://schemas.microsoft.com/office/drawing/2015/06/chart">
            <c:ext xmlns:c16="http://schemas.microsoft.com/office/drawing/2014/chart" uri="{C3380CC4-5D6E-409C-BE32-E72D297353CC}">
              <c16:uniqueId val="{00000000-40DD-46FD-8873-5E5EB4B6B011}"/>
            </c:ext>
          </c:extLst>
        </c:ser>
        <c:dLbls>
          <c:showLegendKey val="0"/>
          <c:showVal val="0"/>
          <c:showCatName val="0"/>
          <c:showSerName val="0"/>
          <c:showPercent val="0"/>
          <c:showBubbleSize val="0"/>
        </c:dLbls>
        <c:smooth val="0"/>
        <c:axId val="181612664"/>
        <c:axId val="181612272"/>
      </c:lineChart>
      <c:catAx>
        <c:axId val="181612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612272"/>
        <c:crosses val="autoZero"/>
        <c:auto val="1"/>
        <c:lblAlgn val="ctr"/>
        <c:lblOffset val="100"/>
        <c:noMultiLvlLbl val="0"/>
      </c:catAx>
      <c:valAx>
        <c:axId val="181612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612664"/>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Local Market Earnings (R/Ton)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spPr>
            <a:ln w="28575" cap="rnd">
              <a:solidFill>
                <a:schemeClr val="accent1"/>
              </a:solidFill>
              <a:round/>
            </a:ln>
            <a:effectLst/>
          </c:spPr>
          <c:marker>
            <c:symbol val="none"/>
          </c:marker>
          <c:cat>
            <c:strRef>
              <c:f>p29daffp!$P$28:$P$38</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p29daffp!$Q$28:$Q$38</c:f>
              <c:numCache>
                <c:formatCode>#,##0</c:formatCode>
                <c:ptCount val="11"/>
                <c:pt idx="0">
                  <c:v>1493</c:v>
                </c:pt>
                <c:pt idx="1">
                  <c:v>1796</c:v>
                </c:pt>
                <c:pt idx="2">
                  <c:v>2283</c:v>
                </c:pt>
                <c:pt idx="3">
                  <c:v>1839</c:v>
                </c:pt>
                <c:pt idx="4">
                  <c:v>1437.0928732136429</c:v>
                </c:pt>
                <c:pt idx="5">
                  <c:v>2107.0341141687513</c:v>
                </c:pt>
                <c:pt idx="6">
                  <c:v>2274.6785880167208</c:v>
                </c:pt>
                <c:pt idx="7">
                  <c:v>2352.577631356648</c:v>
                </c:pt>
                <c:pt idx="8">
                  <c:v>3019.6054782416613</c:v>
                </c:pt>
                <c:pt idx="9">
                  <c:v>3865.7985467301428</c:v>
                </c:pt>
                <c:pt idx="10">
                  <c:v>5154.1120245308794</c:v>
                </c:pt>
              </c:numCache>
            </c:numRef>
          </c:val>
          <c:smooth val="0"/>
          <c:extLst xmlns:c16r2="http://schemas.microsoft.com/office/drawing/2015/06/chart">
            <c:ext xmlns:c16="http://schemas.microsoft.com/office/drawing/2014/chart" uri="{C3380CC4-5D6E-409C-BE32-E72D297353CC}">
              <c16:uniqueId val="{00000000-9F35-4D96-9CEA-CEFB58F956CF}"/>
            </c:ext>
          </c:extLst>
        </c:ser>
        <c:dLbls>
          <c:showLegendKey val="0"/>
          <c:showVal val="0"/>
          <c:showCatName val="0"/>
          <c:showSerName val="0"/>
          <c:showPercent val="0"/>
          <c:showBubbleSize val="0"/>
        </c:dLbls>
        <c:smooth val="0"/>
        <c:axId val="181610704"/>
        <c:axId val="181611488"/>
      </c:lineChart>
      <c:catAx>
        <c:axId val="18161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611488"/>
        <c:crosses val="autoZero"/>
        <c:auto val="1"/>
        <c:lblAlgn val="ctr"/>
        <c:lblOffset val="100"/>
        <c:noMultiLvlLbl val="0"/>
      </c:catAx>
      <c:valAx>
        <c:axId val="181611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610704"/>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A"/>
              <a:t>Processed Earnings (R/Ton)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spPr>
            <a:ln w="28575" cap="rnd">
              <a:solidFill>
                <a:schemeClr val="accent1"/>
              </a:solidFill>
              <a:round/>
            </a:ln>
            <a:effectLst/>
          </c:spPr>
          <c:marker>
            <c:symbol val="none"/>
          </c:marker>
          <c:cat>
            <c:strRef>
              <c:f>p29daffp!$S$28:$S$38</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p29daffp!$T$28:$T$38</c:f>
              <c:numCache>
                <c:formatCode>#,##0</c:formatCode>
                <c:ptCount val="11"/>
                <c:pt idx="0">
                  <c:v>386</c:v>
                </c:pt>
                <c:pt idx="1">
                  <c:v>237</c:v>
                </c:pt>
                <c:pt idx="2">
                  <c:v>152</c:v>
                </c:pt>
                <c:pt idx="3">
                  <c:v>240</c:v>
                </c:pt>
                <c:pt idx="4">
                  <c:v>268</c:v>
                </c:pt>
                <c:pt idx="5">
                  <c:v>383</c:v>
                </c:pt>
                <c:pt idx="6">
                  <c:v>377.05972026690438</c:v>
                </c:pt>
                <c:pt idx="7">
                  <c:v>376.45533306043257</c:v>
                </c:pt>
                <c:pt idx="8">
                  <c:v>401.43193399533322</c:v>
                </c:pt>
                <c:pt idx="9">
                  <c:v>310.27018502259943</c:v>
                </c:pt>
                <c:pt idx="10">
                  <c:v>409.06259470398066</c:v>
                </c:pt>
              </c:numCache>
            </c:numRef>
          </c:val>
          <c:smooth val="0"/>
          <c:extLst xmlns:c16r2="http://schemas.microsoft.com/office/drawing/2015/06/chart">
            <c:ext xmlns:c16="http://schemas.microsoft.com/office/drawing/2014/chart" uri="{C3380CC4-5D6E-409C-BE32-E72D297353CC}">
              <c16:uniqueId val="{00000000-B5A6-4702-8648-D7CE742E0DFF}"/>
            </c:ext>
          </c:extLst>
        </c:ser>
        <c:dLbls>
          <c:showLegendKey val="0"/>
          <c:showVal val="0"/>
          <c:showCatName val="0"/>
          <c:showSerName val="0"/>
          <c:showPercent val="0"/>
          <c:showBubbleSize val="0"/>
        </c:dLbls>
        <c:smooth val="0"/>
        <c:axId val="181609920"/>
        <c:axId val="181610312"/>
      </c:lineChart>
      <c:catAx>
        <c:axId val="18160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610312"/>
        <c:crosses val="autoZero"/>
        <c:auto val="1"/>
        <c:lblAlgn val="ctr"/>
        <c:lblOffset val="100"/>
        <c:noMultiLvlLbl val="0"/>
      </c:catAx>
      <c:valAx>
        <c:axId val="181610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609920"/>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A"/>
              <a:t>Export Tons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2456935938563236"/>
          <c:y val="0.26142857142857145"/>
          <c:w val="0.65898658501020702"/>
          <c:h val="0.580476842568592"/>
        </c:manualLayout>
      </c:layout>
      <c:lineChart>
        <c:grouping val="stacked"/>
        <c:varyColors val="0"/>
        <c:ser>
          <c:idx val="0"/>
          <c:order val="0"/>
          <c:tx>
            <c:strRef>
              <c:f>P27DAFF!$M$21</c:f>
              <c:strCache>
                <c:ptCount val="1"/>
                <c:pt idx="0">
                  <c:v>Tons</c:v>
                </c:pt>
              </c:strCache>
            </c:strRef>
          </c:tx>
          <c:spPr>
            <a:ln w="28575" cap="rnd">
              <a:solidFill>
                <a:schemeClr val="accent1"/>
              </a:solidFill>
              <a:round/>
            </a:ln>
            <a:effectLst/>
          </c:spPr>
          <c:marker>
            <c:symbol val="none"/>
          </c:marker>
          <c:cat>
            <c:numRef>
              <c:f>P27DAFF!$L$22:$L$37</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P27DAFF!$M$22:$M$37</c:f>
              <c:numCache>
                <c:formatCode>#,##0</c:formatCode>
                <c:ptCount val="16"/>
                <c:pt idx="0">
                  <c:v>138355.755</c:v>
                </c:pt>
                <c:pt idx="1">
                  <c:v>166403.77499999999</c:v>
                </c:pt>
                <c:pt idx="2">
                  <c:v>169035.12</c:v>
                </c:pt>
                <c:pt idx="3">
                  <c:v>184450.82304999899</c:v>
                </c:pt>
                <c:pt idx="4">
                  <c:v>251345.1795</c:v>
                </c:pt>
                <c:pt idx="5">
                  <c:v>157792.24999999951</c:v>
                </c:pt>
                <c:pt idx="6">
                  <c:v>199158.88610000003</c:v>
                </c:pt>
                <c:pt idx="7">
                  <c:v>177477.22460000007</c:v>
                </c:pt>
                <c:pt idx="8">
                  <c:v>198812.77254999997</c:v>
                </c:pt>
                <c:pt idx="9">
                  <c:v>173414.03000000099</c:v>
                </c:pt>
                <c:pt idx="10">
                  <c:v>213735.05925000005</c:v>
                </c:pt>
                <c:pt idx="11">
                  <c:v>180246.11999999997</c:v>
                </c:pt>
                <c:pt idx="12">
                  <c:v>252930.38599999988</c:v>
                </c:pt>
                <c:pt idx="13">
                  <c:v>217594.27499999999</c:v>
                </c:pt>
                <c:pt idx="14">
                  <c:v>228812.99489000029</c:v>
                </c:pt>
                <c:pt idx="15">
                  <c:v>210323.09999999998</c:v>
                </c:pt>
              </c:numCache>
            </c:numRef>
          </c:val>
          <c:smooth val="0"/>
          <c:extLst xmlns:c16r2="http://schemas.microsoft.com/office/drawing/2015/06/chart">
            <c:ext xmlns:c16="http://schemas.microsoft.com/office/drawing/2014/chart" uri="{C3380CC4-5D6E-409C-BE32-E72D297353CC}">
              <c16:uniqueId val="{00000000-16F9-498B-AF20-AC4DE0AADF7C}"/>
            </c:ext>
          </c:extLst>
        </c:ser>
        <c:dLbls>
          <c:showLegendKey val="0"/>
          <c:showVal val="0"/>
          <c:showCatName val="0"/>
          <c:showSerName val="0"/>
          <c:showPercent val="0"/>
          <c:showBubbleSize val="0"/>
        </c:dLbls>
        <c:smooth val="0"/>
        <c:axId val="182204328"/>
        <c:axId val="182204720"/>
      </c:lineChart>
      <c:catAx>
        <c:axId val="182204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204720"/>
        <c:crosses val="autoZero"/>
        <c:auto val="1"/>
        <c:lblAlgn val="ctr"/>
        <c:lblOffset val="100"/>
        <c:noMultiLvlLbl val="0"/>
      </c:catAx>
      <c:valAx>
        <c:axId val="182204720"/>
        <c:scaling>
          <c:orientation val="minMax"/>
          <c:min val="1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204328"/>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Hectares Planted to Grapefruit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P26DAFF!$K$5</c:f>
              <c:strCache>
                <c:ptCount val="1"/>
                <c:pt idx="0">
                  <c:v>Ha</c:v>
                </c:pt>
              </c:strCache>
            </c:strRef>
          </c:tx>
          <c:spPr>
            <a:ln w="28575" cap="rnd">
              <a:solidFill>
                <a:schemeClr val="accent1"/>
              </a:solidFill>
              <a:round/>
            </a:ln>
            <a:effectLst/>
          </c:spPr>
          <c:marker>
            <c:symbol val="none"/>
          </c:marker>
          <c:cat>
            <c:numRef>
              <c:f>P26DAFF!$J$6:$J$9</c:f>
              <c:numCache>
                <c:formatCode>General</c:formatCode>
                <c:ptCount val="4"/>
                <c:pt idx="0">
                  <c:v>2000</c:v>
                </c:pt>
                <c:pt idx="1">
                  <c:v>2005</c:v>
                </c:pt>
                <c:pt idx="2">
                  <c:v>2010</c:v>
                </c:pt>
                <c:pt idx="3">
                  <c:v>2015</c:v>
                </c:pt>
              </c:numCache>
            </c:numRef>
          </c:cat>
          <c:val>
            <c:numRef>
              <c:f>P26DAFF!$K$6:$K$9</c:f>
              <c:numCache>
                <c:formatCode>General</c:formatCode>
                <c:ptCount val="4"/>
                <c:pt idx="0">
                  <c:v>6656</c:v>
                </c:pt>
                <c:pt idx="1">
                  <c:v>8349</c:v>
                </c:pt>
                <c:pt idx="2">
                  <c:v>9142</c:v>
                </c:pt>
                <c:pt idx="3">
                  <c:v>7678</c:v>
                </c:pt>
              </c:numCache>
            </c:numRef>
          </c:val>
          <c:smooth val="1"/>
          <c:extLst xmlns:c16r2="http://schemas.microsoft.com/office/drawing/2015/06/chart">
            <c:ext xmlns:c16="http://schemas.microsoft.com/office/drawing/2014/chart" uri="{C3380CC4-5D6E-409C-BE32-E72D297353CC}">
              <c16:uniqueId val="{00000000-24CB-458B-AB5F-AFDC50D4A1F6}"/>
            </c:ext>
          </c:extLst>
        </c:ser>
        <c:dLbls>
          <c:showLegendKey val="0"/>
          <c:showVal val="0"/>
          <c:showCatName val="0"/>
          <c:showSerName val="0"/>
          <c:showPercent val="0"/>
          <c:showBubbleSize val="0"/>
        </c:dLbls>
        <c:smooth val="0"/>
        <c:axId val="182205504"/>
        <c:axId val="182205896"/>
      </c:lineChart>
      <c:catAx>
        <c:axId val="18220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205896"/>
        <c:crosses val="autoZero"/>
        <c:auto val="1"/>
        <c:lblAlgn val="ctr"/>
        <c:lblOffset val="100"/>
        <c:noMultiLvlLbl val="0"/>
      </c:catAx>
      <c:valAx>
        <c:axId val="182205896"/>
        <c:scaling>
          <c:orientation val="minMax"/>
          <c:min val="6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205504"/>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F26BA-6977-41C5-95E3-4C5AE88A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7</cp:revision>
  <cp:lastPrinted>2017-09-15T08:19:00Z</cp:lastPrinted>
  <dcterms:created xsi:type="dcterms:W3CDTF">2017-11-24T13:20:00Z</dcterms:created>
  <dcterms:modified xsi:type="dcterms:W3CDTF">2017-12-01T06:44:00Z</dcterms:modified>
</cp:coreProperties>
</file>