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4362E5" w:rsidRDefault="005859D8" w:rsidP="004362E5">
      <w:pPr>
        <w:spacing w:after="0" w:line="240" w:lineRule="auto"/>
        <w:ind w:right="113"/>
        <w:rPr>
          <w:rFonts w:ascii="Comic Sans MS" w:hAnsi="Comic Sans MS"/>
          <w:b/>
          <w:i/>
          <w:sz w:val="40"/>
          <w:szCs w:val="40"/>
          <w:lang w:val="af-ZA"/>
        </w:rPr>
      </w:pPr>
      <w:r w:rsidRPr="004362E5">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2E5">
        <w:rPr>
          <w:rFonts w:ascii="Comic Sans MS" w:hAnsi="Comic Sans MS"/>
          <w:b/>
          <w:i/>
          <w:sz w:val="40"/>
          <w:szCs w:val="40"/>
          <w:lang w:val="af-ZA"/>
        </w:rPr>
        <w:t xml:space="preserve">UIT DIE PEN VAN DIE </w:t>
      </w:r>
      <w:r w:rsidRPr="004362E5">
        <w:rPr>
          <w:rFonts w:ascii="Comic Sans MS" w:hAnsi="Comic Sans MS"/>
          <w:b/>
          <w:i/>
          <w:sz w:val="40"/>
          <w:szCs w:val="40"/>
          <w:lang w:val="af-ZA"/>
        </w:rPr>
        <w:t>CEO (</w:t>
      </w:r>
      <w:r w:rsidR="00CC000B" w:rsidRPr="004362E5">
        <w:rPr>
          <w:rFonts w:ascii="Comic Sans MS" w:hAnsi="Comic Sans MS"/>
          <w:b/>
          <w:i/>
          <w:sz w:val="40"/>
          <w:szCs w:val="40"/>
          <w:lang w:val="af-ZA"/>
        </w:rPr>
        <w:t>48</w:t>
      </w:r>
      <w:r w:rsidR="005F4137" w:rsidRPr="004362E5">
        <w:rPr>
          <w:rFonts w:ascii="Comic Sans MS" w:hAnsi="Comic Sans MS"/>
          <w:b/>
          <w:i/>
          <w:sz w:val="40"/>
          <w:szCs w:val="40"/>
          <w:lang w:val="af-ZA"/>
        </w:rPr>
        <w:t>/</w:t>
      </w:r>
      <w:r w:rsidRPr="004362E5">
        <w:rPr>
          <w:rFonts w:ascii="Comic Sans MS" w:hAnsi="Comic Sans MS"/>
          <w:b/>
          <w:i/>
          <w:sz w:val="40"/>
          <w:szCs w:val="40"/>
          <w:lang w:val="af-ZA"/>
        </w:rPr>
        <w:t>19)</w:t>
      </w:r>
      <w:r w:rsidRPr="004362E5">
        <w:rPr>
          <w:noProof/>
          <w:lang w:val="af-ZA" w:eastAsia="en-ZA"/>
        </w:rPr>
        <w:t xml:space="preserve"> </w:t>
      </w:r>
    </w:p>
    <w:p w:rsidR="005859D8" w:rsidRPr="004362E5" w:rsidRDefault="005859D8" w:rsidP="004362E5">
      <w:pPr>
        <w:spacing w:after="0" w:line="240" w:lineRule="auto"/>
        <w:ind w:right="113"/>
        <w:rPr>
          <w:rFonts w:ascii="Comic Sans MS" w:hAnsi="Comic Sans MS"/>
          <w:b/>
          <w:color w:val="00B050"/>
          <w:sz w:val="21"/>
          <w:szCs w:val="21"/>
          <w:lang w:val="af-ZA"/>
        </w:rPr>
      </w:pPr>
      <w:r w:rsidRPr="004362E5">
        <w:rPr>
          <w:rFonts w:ascii="Comic Sans MS" w:hAnsi="Comic Sans MS"/>
          <w:b/>
          <w:color w:val="00B050"/>
          <w:sz w:val="21"/>
          <w:szCs w:val="21"/>
          <w:lang w:val="af-ZA"/>
        </w:rPr>
        <w:t>(</w:t>
      </w:r>
      <w:r w:rsidR="004362E5">
        <w:rPr>
          <w:rFonts w:ascii="Comic Sans MS" w:hAnsi="Comic Sans MS"/>
          <w:b/>
          <w:color w:val="00B050"/>
          <w:sz w:val="21"/>
          <w:szCs w:val="21"/>
          <w:lang w:val="af-ZA"/>
        </w:rPr>
        <w:t xml:space="preserve">Volg my op </w:t>
      </w:r>
      <w:r w:rsidRPr="004362E5">
        <w:rPr>
          <w:rFonts w:ascii="Comic Sans MS" w:hAnsi="Comic Sans MS"/>
          <w:b/>
          <w:color w:val="00B050"/>
          <w:sz w:val="21"/>
          <w:szCs w:val="21"/>
          <w:lang w:val="af-ZA"/>
        </w:rPr>
        <w:t>Twitter justchad_cga)</w:t>
      </w:r>
    </w:p>
    <w:p w:rsidR="00361403" w:rsidRPr="004362E5" w:rsidRDefault="00CC000B">
      <w:pPr>
        <w:rPr>
          <w:rFonts w:ascii="Comic Sans MS" w:hAnsi="Comic Sans MS"/>
          <w:i/>
          <w:sz w:val="21"/>
          <w:szCs w:val="21"/>
          <w:lang w:val="af-ZA"/>
        </w:rPr>
      </w:pPr>
      <w:r w:rsidRPr="004362E5">
        <w:rPr>
          <w:rFonts w:ascii="Comic Sans MS" w:hAnsi="Comic Sans MS"/>
          <w:i/>
          <w:sz w:val="21"/>
          <w:szCs w:val="21"/>
          <w:lang w:val="af-ZA"/>
        </w:rPr>
        <w:t xml:space="preserve">Justin Chadwick </w:t>
      </w:r>
      <w:r w:rsidR="005F4137" w:rsidRPr="004362E5">
        <w:rPr>
          <w:rFonts w:ascii="Comic Sans MS" w:hAnsi="Comic Sans MS"/>
          <w:i/>
          <w:sz w:val="21"/>
          <w:szCs w:val="21"/>
          <w:lang w:val="af-ZA"/>
        </w:rPr>
        <w:t>2</w:t>
      </w:r>
      <w:r w:rsidRPr="004362E5">
        <w:rPr>
          <w:rFonts w:ascii="Comic Sans MS" w:hAnsi="Comic Sans MS"/>
          <w:i/>
          <w:sz w:val="21"/>
          <w:szCs w:val="21"/>
          <w:lang w:val="af-ZA"/>
        </w:rPr>
        <w:t>9</w:t>
      </w:r>
      <w:r w:rsidR="000E541C" w:rsidRPr="004362E5">
        <w:rPr>
          <w:rFonts w:ascii="Comic Sans MS" w:hAnsi="Comic Sans MS"/>
          <w:i/>
          <w:sz w:val="21"/>
          <w:szCs w:val="21"/>
          <w:lang w:val="af-ZA"/>
        </w:rPr>
        <w:t xml:space="preserve"> November</w:t>
      </w:r>
      <w:r w:rsidR="00361403" w:rsidRPr="004362E5">
        <w:rPr>
          <w:rFonts w:ascii="Comic Sans MS" w:hAnsi="Comic Sans MS"/>
          <w:i/>
          <w:sz w:val="21"/>
          <w:szCs w:val="21"/>
          <w:lang w:val="af-ZA"/>
        </w:rPr>
        <w:t xml:space="preserve"> 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4362E5" w:rsidTr="00ED209B">
        <w:trPr>
          <w:trHeight w:val="555"/>
          <w:tblCellSpacing w:w="0" w:type="dxa"/>
        </w:trPr>
        <w:tc>
          <w:tcPr>
            <w:tcW w:w="10824" w:type="dxa"/>
            <w:vAlign w:val="center"/>
          </w:tcPr>
          <w:p w:rsidR="00836320" w:rsidRDefault="005F4137" w:rsidP="009206C6">
            <w:pPr>
              <w:ind w:right="-329"/>
              <w:rPr>
                <w:rFonts w:ascii="Arial" w:hAnsi="Arial" w:cs="Arial"/>
                <w:b/>
                <w:i/>
                <w:lang w:val="af-ZA"/>
              </w:rPr>
            </w:pPr>
            <w:r w:rsidRPr="004362E5">
              <w:rPr>
                <w:rFonts w:ascii="Arial" w:hAnsi="Arial" w:cs="Arial"/>
                <w:b/>
                <w:i/>
                <w:lang w:val="af-ZA"/>
              </w:rPr>
              <w:t>“</w:t>
            </w:r>
            <w:r w:rsidR="009206C6" w:rsidRPr="004362E5">
              <w:rPr>
                <w:rFonts w:ascii="Arial" w:hAnsi="Arial" w:cs="Arial"/>
                <w:b/>
                <w:i/>
                <w:lang w:val="af-ZA"/>
              </w:rPr>
              <w:t>Either you run the day, or the day runs you.”- Jim Rohn</w:t>
            </w:r>
          </w:p>
          <w:p w:rsidR="004362E5" w:rsidRPr="004362E5" w:rsidRDefault="004362E5" w:rsidP="00181ECA">
            <w:pPr>
              <w:spacing w:after="0" w:line="240" w:lineRule="auto"/>
              <w:jc w:val="both"/>
              <w:rPr>
                <w:b/>
                <w:noProof/>
                <w:color w:val="C45911" w:themeColor="accent2" w:themeShade="BF"/>
                <w:sz w:val="24"/>
                <w:szCs w:val="24"/>
                <w:u w:val="single"/>
                <w:lang w:val="af-ZA"/>
              </w:rPr>
            </w:pPr>
            <w:r w:rsidRPr="004362E5">
              <w:rPr>
                <w:b/>
                <w:noProof/>
                <w:color w:val="C45911" w:themeColor="accent2" w:themeShade="BF"/>
                <w:sz w:val="24"/>
                <w:szCs w:val="24"/>
                <w:u w:val="single"/>
                <w:lang w:val="af-ZA"/>
              </w:rPr>
              <w:t>VALENCIA SEISOENALE OORSIG 2019 (Voorberei deur  Portia Magwaza; CGA Navorsingsekonoom)</w:t>
            </w:r>
          </w:p>
          <w:p w:rsidR="004362E5" w:rsidRPr="004362E5" w:rsidRDefault="004362E5" w:rsidP="004362E5">
            <w:pPr>
              <w:spacing w:after="0"/>
              <w:ind w:right="-329"/>
              <w:rPr>
                <w:rFonts w:ascii="Arial" w:hAnsi="Arial" w:cs="Arial"/>
                <w:b/>
                <w:i/>
                <w:lang w:val="af-ZA"/>
              </w:rPr>
            </w:pPr>
          </w:p>
        </w:tc>
      </w:tr>
    </w:tbl>
    <w:p w:rsidR="009206C6" w:rsidRPr="00502EEB" w:rsidRDefault="00267052" w:rsidP="004362E5">
      <w:pPr>
        <w:spacing w:after="0" w:line="240" w:lineRule="auto"/>
        <w:jc w:val="both"/>
        <w:rPr>
          <w:bCs/>
          <w:sz w:val="24"/>
          <w:szCs w:val="24"/>
        </w:rPr>
      </w:pPr>
      <w:r w:rsidRPr="004362E5">
        <w:rPr>
          <w:noProof/>
          <w:sz w:val="24"/>
          <w:szCs w:val="24"/>
          <w:lang w:val="en-US"/>
        </w:rPr>
        <w:drawing>
          <wp:anchor distT="0" distB="0" distL="114300" distR="114300" simplePos="0" relativeHeight="251660288" behindDoc="1" locked="0" layoutInCell="1" allowOverlap="1" wp14:anchorId="7912FC0C" wp14:editId="685C4740">
            <wp:simplePos x="0" y="0"/>
            <wp:positionH relativeFrom="column">
              <wp:posOffset>0</wp:posOffset>
            </wp:positionH>
            <wp:positionV relativeFrom="paragraph">
              <wp:posOffset>82550</wp:posOffset>
            </wp:positionV>
            <wp:extent cx="3924935" cy="2820670"/>
            <wp:effectExtent l="0" t="0" r="18415" b="17780"/>
            <wp:wrapTight wrapText="bothSides">
              <wp:wrapPolygon edited="0">
                <wp:start x="0" y="0"/>
                <wp:lineTo x="0" y="21590"/>
                <wp:lineTo x="21597" y="21590"/>
                <wp:lineTo x="2159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4362E5" w:rsidRPr="004362E5">
        <w:rPr>
          <w:bCs/>
          <w:noProof/>
          <w:sz w:val="24"/>
          <w:szCs w:val="24"/>
          <w:lang w:val="af-ZA"/>
        </w:rPr>
        <w:t>Aanvanklike skattings het die syfer vir Valencias wat vir uitvoer gepak is, op 46,8 miljoen kartonne geplaas - ver onder 2018 (54 m) en 2017 (53,9 m). Dit was as gevolg van onbemarkbare groottes – baie groot en klein.</w:t>
      </w:r>
    </w:p>
    <w:p w:rsidR="004362E5" w:rsidRPr="004362E5" w:rsidRDefault="00181ECA" w:rsidP="00181ECA">
      <w:pPr>
        <w:spacing w:after="0" w:line="240" w:lineRule="auto"/>
        <w:jc w:val="both"/>
        <w:rPr>
          <w:bCs/>
          <w:noProof/>
          <w:sz w:val="24"/>
          <w:szCs w:val="24"/>
          <w:lang w:val="af-ZA"/>
        </w:rPr>
      </w:pPr>
      <w:r>
        <w:rPr>
          <w:bCs/>
          <w:noProof/>
          <w:sz w:val="24"/>
          <w:szCs w:val="24"/>
          <w:lang w:val="af-ZA"/>
        </w:rPr>
        <w:t xml:space="preserve">Dit was vir baie </w:t>
      </w:r>
      <w:r w:rsidRPr="004362E5">
        <w:rPr>
          <w:bCs/>
          <w:noProof/>
          <w:sz w:val="24"/>
          <w:szCs w:val="24"/>
          <w:lang w:val="af-ZA"/>
        </w:rPr>
        <w:t xml:space="preserve">van die Valencia Fokusgroep-lede 'n </w:t>
      </w:r>
      <w:r>
        <w:rPr>
          <w:bCs/>
          <w:noProof/>
          <w:sz w:val="24"/>
          <w:szCs w:val="24"/>
          <w:lang w:val="af-ZA"/>
        </w:rPr>
        <w:t xml:space="preserve">groot </w:t>
      </w:r>
      <w:r w:rsidRPr="004362E5">
        <w:rPr>
          <w:bCs/>
          <w:noProof/>
          <w:sz w:val="24"/>
          <w:szCs w:val="24"/>
          <w:lang w:val="af-ZA"/>
        </w:rPr>
        <w:t>uitdaging</w:t>
      </w:r>
      <w:r w:rsidRPr="004362E5">
        <w:rPr>
          <w:bCs/>
          <w:noProof/>
          <w:sz w:val="24"/>
          <w:szCs w:val="24"/>
          <w:lang w:val="af-ZA"/>
        </w:rPr>
        <w:t xml:space="preserve"> </w:t>
      </w:r>
      <w:r>
        <w:rPr>
          <w:bCs/>
          <w:noProof/>
          <w:sz w:val="24"/>
          <w:szCs w:val="24"/>
          <w:lang w:val="af-ZA"/>
        </w:rPr>
        <w:t>o</w:t>
      </w:r>
      <w:r w:rsidR="004362E5" w:rsidRPr="004362E5">
        <w:rPr>
          <w:bCs/>
          <w:noProof/>
          <w:sz w:val="24"/>
          <w:szCs w:val="24"/>
          <w:lang w:val="af-ZA"/>
        </w:rPr>
        <w:t>m die 2019 Valencia oes te skat</w:t>
      </w:r>
      <w:r>
        <w:rPr>
          <w:bCs/>
          <w:noProof/>
          <w:sz w:val="24"/>
          <w:szCs w:val="24"/>
          <w:lang w:val="af-ZA"/>
        </w:rPr>
        <w:t xml:space="preserve">. Die </w:t>
      </w:r>
      <w:r w:rsidR="004362E5" w:rsidRPr="004362E5">
        <w:rPr>
          <w:bCs/>
          <w:noProof/>
          <w:sz w:val="24"/>
          <w:szCs w:val="24"/>
          <w:lang w:val="af-ZA"/>
        </w:rPr>
        <w:t>aanvanklike skatting was 52,9 miljoen kartonne - die finale telling was byna 12% onder die skatting.</w:t>
      </w:r>
    </w:p>
    <w:p w:rsidR="00695C3C" w:rsidRPr="00695C3C" w:rsidRDefault="004362E5" w:rsidP="00695C3C">
      <w:pPr>
        <w:spacing w:after="0" w:line="240" w:lineRule="auto"/>
        <w:jc w:val="both"/>
        <w:rPr>
          <w:bCs/>
          <w:noProof/>
          <w:sz w:val="24"/>
          <w:szCs w:val="24"/>
          <w:lang w:val="af-ZA"/>
        </w:rPr>
      </w:pPr>
      <w:r w:rsidRPr="004362E5">
        <w:rPr>
          <w:bCs/>
          <w:noProof/>
          <w:sz w:val="24"/>
          <w:szCs w:val="24"/>
          <w:lang w:val="af-ZA"/>
        </w:rPr>
        <w:t>Die grootste streek (Letsitele) op 12,2 miljoen kartonne was 17% onder die skatting; Sondagsriviervallei op 6,1 miljoen kartonne was 1% hoër as die skatting; terwyl Senwes op 5,2 miljoen 24% onder die skatting was. Hoedspruit met 4,8 m kartonne was 15% onder die skatting en Limpoporivier (4,6 m) was 14% minder as die skatting.</w:t>
      </w:r>
      <w:r w:rsidR="00695C3C">
        <w:rPr>
          <w:bCs/>
          <w:noProof/>
          <w:sz w:val="24"/>
          <w:szCs w:val="24"/>
          <w:lang w:val="af-ZA"/>
        </w:rPr>
        <w:t xml:space="preserve">  </w:t>
      </w:r>
      <w:r w:rsidR="00695C3C" w:rsidRPr="00695C3C">
        <w:rPr>
          <w:bCs/>
          <w:noProof/>
          <w:sz w:val="24"/>
          <w:szCs w:val="24"/>
          <w:lang w:val="af-ZA"/>
        </w:rPr>
        <w:t>Soos met pomelo's, suurlemoene en nawels, bly Nederland steeds die grootste invoerder op 157 000 ton. Hulle word gevolg deur China (65 000 ton), Rusland (45 000 ton), VAE (42 000 ton) en die VK (39 000) wat die top vyf invoerlande afrond.</w:t>
      </w:r>
    </w:p>
    <w:p w:rsidR="00FA06B9" w:rsidRDefault="00695C3C" w:rsidP="00695C3C">
      <w:pPr>
        <w:spacing w:after="0" w:line="240" w:lineRule="auto"/>
        <w:jc w:val="both"/>
        <w:rPr>
          <w:bCs/>
        </w:rPr>
      </w:pPr>
      <w:r w:rsidRPr="00502EEB">
        <w:rPr>
          <w:bCs/>
          <w:noProof/>
          <w:sz w:val="24"/>
          <w:szCs w:val="24"/>
          <w:lang w:val="en-US"/>
        </w:rPr>
        <mc:AlternateContent>
          <mc:Choice Requires="wps">
            <w:drawing>
              <wp:anchor distT="45720" distB="45720" distL="114300" distR="114300" simplePos="0" relativeHeight="251662336" behindDoc="0" locked="0" layoutInCell="1" allowOverlap="1" wp14:anchorId="23E1B19A" wp14:editId="246715D9">
                <wp:simplePos x="0" y="0"/>
                <wp:positionH relativeFrom="column">
                  <wp:posOffset>4133850</wp:posOffset>
                </wp:positionH>
                <wp:positionV relativeFrom="paragraph">
                  <wp:posOffset>296545</wp:posOffset>
                </wp:positionV>
                <wp:extent cx="2360930" cy="25622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62225"/>
                        </a:xfrm>
                        <a:prstGeom prst="rect">
                          <a:avLst/>
                        </a:prstGeom>
                        <a:solidFill>
                          <a:srgbClr val="FFFFFF"/>
                        </a:solidFill>
                        <a:ln w="9525">
                          <a:solidFill>
                            <a:srgbClr val="000000"/>
                          </a:solidFill>
                          <a:miter lim="800000"/>
                          <a:headEnd/>
                          <a:tailEnd/>
                        </a:ln>
                      </wps:spPr>
                      <wps:txbx>
                        <w:txbxContent>
                          <w:p w:rsidR="00695C3C" w:rsidRPr="00695C3C" w:rsidRDefault="00695C3C" w:rsidP="00181ECA">
                            <w:pPr>
                              <w:jc w:val="both"/>
                              <w:rPr>
                                <w:rFonts w:asciiTheme="minorHAnsi" w:eastAsiaTheme="minorHAnsi" w:hAnsiTheme="minorHAnsi" w:cstheme="minorBidi"/>
                                <w:noProof/>
                                <w:lang w:val="af-ZA"/>
                              </w:rPr>
                            </w:pPr>
                            <w:r w:rsidRPr="00695C3C">
                              <w:rPr>
                                <w:rFonts w:asciiTheme="minorHAnsi" w:eastAsiaTheme="minorHAnsi" w:hAnsiTheme="minorHAnsi" w:cstheme="minorBidi"/>
                                <w:noProof/>
                                <w:lang w:val="af-ZA"/>
                              </w:rPr>
                              <w:t>SHAFFE (</w:t>
                            </w:r>
                            <w:r w:rsidRPr="00695C3C">
                              <w:rPr>
                                <w:noProof/>
                                <w:lang w:val="af-ZA"/>
                              </w:rPr>
                              <w:t>Southern Hemisphere Association of Fresh Fruit Exporters</w:t>
                            </w:r>
                            <w:r w:rsidRPr="00695C3C">
                              <w:rPr>
                                <w:rFonts w:asciiTheme="minorHAnsi" w:eastAsiaTheme="minorHAnsi" w:hAnsiTheme="minorHAnsi" w:cstheme="minorBidi"/>
                                <w:noProof/>
                                <w:lang w:val="af-ZA"/>
                              </w:rPr>
                              <w:t>) se syfers onderskei nie tussen verskillende lemoen</w:t>
                            </w:r>
                            <w:bookmarkStart w:id="0" w:name="_GoBack"/>
                            <w:bookmarkEnd w:id="0"/>
                            <w:r w:rsidRPr="00695C3C">
                              <w:rPr>
                                <w:rFonts w:asciiTheme="minorHAnsi" w:eastAsiaTheme="minorHAnsi" w:hAnsiTheme="minorHAnsi" w:cstheme="minorBidi"/>
                                <w:noProof/>
                                <w:lang w:val="af-ZA"/>
                              </w:rPr>
                              <w:t xml:space="preserve">tipes nie. Suid-Afrika oorheers in die Suidelike Halfrond die lemoenkategorie. Die enigste betekenisvolle kompetisie is in die VSA (waar Chili oorheers) en Japan (gelei deur Australië).  Noord-Europa bly die leier invoerder van </w:t>
                            </w:r>
                            <w:r>
                              <w:rPr>
                                <w:rFonts w:asciiTheme="minorHAnsi" w:eastAsiaTheme="minorHAnsi" w:hAnsiTheme="minorHAnsi" w:cstheme="minorBidi"/>
                                <w:noProof/>
                                <w:lang w:val="af-ZA"/>
                              </w:rPr>
                              <w:t xml:space="preserve">die </w:t>
                            </w:r>
                            <w:r w:rsidRPr="00695C3C">
                              <w:rPr>
                                <w:rFonts w:asciiTheme="minorHAnsi" w:eastAsiaTheme="minorHAnsi" w:hAnsiTheme="minorHAnsi" w:cstheme="minorBidi"/>
                                <w:noProof/>
                                <w:lang w:val="af-ZA"/>
                              </w:rPr>
                              <w:t>Suidelike halfrond se lemoene , gevolg deur die Midde-Ooste en Suidoos-Asië.</w:t>
                            </w:r>
                          </w:p>
                          <w:p w:rsidR="00352FAF" w:rsidRDefault="00352FAF" w:rsidP="00352FAF">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E1B19A" id="_x0000_t202" coordsize="21600,21600" o:spt="202" path="m,l,21600r21600,l21600,xe">
                <v:stroke joinstyle="miter"/>
                <v:path gradientshapeok="t" o:connecttype="rect"/>
              </v:shapetype>
              <v:shape id="Text Box 2" o:spid="_x0000_s1026" type="#_x0000_t202" style="position:absolute;left:0;text-align:left;margin-left:325.5pt;margin-top:23.35pt;width:185.9pt;height:20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QjIwIAAEc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hZXi3x5hSaOtmK+KIpinmKw8vm7dT68FaBJFCrqsPkJ&#10;nh0efIjpsPLZJUbzoGSzlUolxe3qjXLkwHBQtumc0H9yU4b0FV3OMfbfIfJ0/gShZcCJV1JX9Obs&#10;xMrI2xvTpHkMTKpRxpSVOREZuRtZDEM9nBpTQ3NESh2Mk42biEIH7hslPU51Rf3XPXOCEvXOYFuW&#10;09ksrkFSZvPrAhV3aakvLcxwhKpooGQUNyGtTizdwB22r5WJ2NjnMZNTrjitie/TZsV1uNST14/9&#10;X38HAAD//wMAUEsDBBQABgAIAAAAIQBzVWaY3wAAAAsBAAAPAAAAZHJzL2Rvd25yZXYueG1sTI/B&#10;TsMwDIbvSLxDZCRuLGlFCypNJzRpl90oE+yYNabJ1iRVk23d2+Od4Gj71+/vq5ezG9gZp2iDl5At&#10;BDD0XdDW9xK2n+unV2AxKa/VEDxKuGKEZXN/V6tKh4v/wHObekYlPlZKgklprDiPnUGn4iKM6On2&#10;EyanEo1Tz/WkLlTuBp4LUXKnrKcPRo24Mtgd25OTEI/ZuvgOh63Zba6mPezsl92spHx8mN/fgCWc&#10;018YbviEDg0x7cPJ68gGCWWRkUuS8Fy+ALsFRJ6TzJ42hciBNzX/79D8AgAA//8DAFBLAQItABQA&#10;BgAIAAAAIQC2gziS/gAAAOEBAAATAAAAAAAAAAAAAAAAAAAAAABbQ29udGVudF9UeXBlc10ueG1s&#10;UEsBAi0AFAAGAAgAAAAhADj9If/WAAAAlAEAAAsAAAAAAAAAAAAAAAAALwEAAF9yZWxzLy5yZWxz&#10;UEsBAi0AFAAGAAgAAAAhAJE6JCMjAgAARwQAAA4AAAAAAAAAAAAAAAAALgIAAGRycy9lMm9Eb2Mu&#10;eG1sUEsBAi0AFAAGAAgAAAAhAHNVZpjfAAAACwEAAA8AAAAAAAAAAAAAAAAAfQQAAGRycy9kb3du&#10;cmV2LnhtbFBLBQYAAAAABAAEAPMAAACJBQAAAAA=&#10;">
                <v:textbox>
                  <w:txbxContent>
                    <w:p w:rsidR="00695C3C" w:rsidRPr="00695C3C" w:rsidRDefault="00695C3C" w:rsidP="00181ECA">
                      <w:pPr>
                        <w:jc w:val="both"/>
                        <w:rPr>
                          <w:rFonts w:asciiTheme="minorHAnsi" w:eastAsiaTheme="minorHAnsi" w:hAnsiTheme="minorHAnsi" w:cstheme="minorBidi"/>
                          <w:noProof/>
                          <w:lang w:val="af-ZA"/>
                        </w:rPr>
                      </w:pPr>
                      <w:r w:rsidRPr="00695C3C">
                        <w:rPr>
                          <w:rFonts w:asciiTheme="minorHAnsi" w:eastAsiaTheme="minorHAnsi" w:hAnsiTheme="minorHAnsi" w:cstheme="minorBidi"/>
                          <w:noProof/>
                          <w:lang w:val="af-ZA"/>
                        </w:rPr>
                        <w:t>SHAFFE (</w:t>
                      </w:r>
                      <w:r w:rsidRPr="00695C3C">
                        <w:rPr>
                          <w:noProof/>
                          <w:lang w:val="af-ZA"/>
                        </w:rPr>
                        <w:t>Southern Hemisphere Association of Fresh Fruit Exporters</w:t>
                      </w:r>
                      <w:r w:rsidRPr="00695C3C">
                        <w:rPr>
                          <w:rFonts w:asciiTheme="minorHAnsi" w:eastAsiaTheme="minorHAnsi" w:hAnsiTheme="minorHAnsi" w:cstheme="minorBidi"/>
                          <w:noProof/>
                          <w:lang w:val="af-ZA"/>
                        </w:rPr>
                        <w:t>) se syfers onderskei nie tussen verskillende lemoen</w:t>
                      </w:r>
                      <w:bookmarkStart w:id="1" w:name="_GoBack"/>
                      <w:bookmarkEnd w:id="1"/>
                      <w:r w:rsidRPr="00695C3C">
                        <w:rPr>
                          <w:rFonts w:asciiTheme="minorHAnsi" w:eastAsiaTheme="minorHAnsi" w:hAnsiTheme="minorHAnsi" w:cstheme="minorBidi"/>
                          <w:noProof/>
                          <w:lang w:val="af-ZA"/>
                        </w:rPr>
                        <w:t xml:space="preserve">tipes nie. Suid-Afrika oorheers in die Suidelike Halfrond die lemoenkategorie. Die enigste betekenisvolle kompetisie is in die VSA (waar Chili oorheers) en Japan (gelei deur Australië).  Noord-Europa bly die leier invoerder van </w:t>
                      </w:r>
                      <w:r>
                        <w:rPr>
                          <w:rFonts w:asciiTheme="minorHAnsi" w:eastAsiaTheme="minorHAnsi" w:hAnsiTheme="minorHAnsi" w:cstheme="minorBidi"/>
                          <w:noProof/>
                          <w:lang w:val="af-ZA"/>
                        </w:rPr>
                        <w:t xml:space="preserve">die </w:t>
                      </w:r>
                      <w:r w:rsidRPr="00695C3C">
                        <w:rPr>
                          <w:rFonts w:asciiTheme="minorHAnsi" w:eastAsiaTheme="minorHAnsi" w:hAnsiTheme="minorHAnsi" w:cstheme="minorBidi"/>
                          <w:noProof/>
                          <w:lang w:val="af-ZA"/>
                        </w:rPr>
                        <w:t>Suidelike halfrond se lemoene , gevolg deur die Midde-Ooste en Suidoos-Asië.</w:t>
                      </w:r>
                    </w:p>
                    <w:p w:rsidR="00352FAF" w:rsidRDefault="00352FAF" w:rsidP="00352FAF">
                      <w:pPr>
                        <w:spacing w:after="0"/>
                      </w:pPr>
                    </w:p>
                  </w:txbxContent>
                </v:textbox>
                <w10:wrap type="square"/>
              </v:shape>
            </w:pict>
          </mc:Fallback>
        </mc:AlternateContent>
      </w:r>
      <w:r w:rsidR="005330E2" w:rsidRPr="00502EEB">
        <w:rPr>
          <w:rFonts w:cs="Calibri"/>
          <w:noProof/>
          <w:color w:val="1F497D"/>
          <w:sz w:val="24"/>
          <w:szCs w:val="24"/>
          <w:lang w:val="en-US"/>
        </w:rPr>
        <w:drawing>
          <wp:inline distT="0" distB="0" distL="0" distR="0">
            <wp:extent cx="3944176" cy="2486722"/>
            <wp:effectExtent l="0" t="0" r="0" b="8890"/>
            <wp:docPr id="2" name="Picture 2" descr="cid:image003.png@01D5A07A.5339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A07A.53390E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63212" cy="2498724"/>
                    </a:xfrm>
                    <a:prstGeom prst="rect">
                      <a:avLst/>
                    </a:prstGeom>
                    <a:noFill/>
                    <a:ln>
                      <a:noFill/>
                    </a:ln>
                  </pic:spPr>
                </pic:pic>
              </a:graphicData>
            </a:graphic>
          </wp:inline>
        </w:drawing>
      </w:r>
    </w:p>
    <w:p w:rsidR="00695C3C" w:rsidRPr="00695C3C" w:rsidRDefault="00695C3C" w:rsidP="00695C3C">
      <w:pPr>
        <w:spacing w:after="0" w:line="240" w:lineRule="auto"/>
        <w:jc w:val="both"/>
        <w:rPr>
          <w:b/>
          <w:bCs/>
          <w:noProof/>
          <w:color w:val="C45911" w:themeColor="accent2" w:themeShade="BF"/>
          <w:sz w:val="24"/>
          <w:szCs w:val="24"/>
          <w:u w:val="single"/>
          <w:lang w:val="af-ZA"/>
        </w:rPr>
      </w:pPr>
      <w:r w:rsidRPr="00695C3C">
        <w:rPr>
          <w:b/>
          <w:bCs/>
          <w:noProof/>
          <w:color w:val="C45911" w:themeColor="accent2" w:themeShade="BF"/>
          <w:sz w:val="24"/>
          <w:szCs w:val="24"/>
          <w:u w:val="single"/>
          <w:lang w:val="af-ZA"/>
        </w:rPr>
        <w:t>DATUMS VIR 2020</w:t>
      </w:r>
    </w:p>
    <w:p w:rsidR="00695C3C" w:rsidRPr="00695C3C" w:rsidRDefault="00695C3C" w:rsidP="00181ECA">
      <w:pPr>
        <w:spacing w:after="0" w:line="240" w:lineRule="auto"/>
        <w:jc w:val="both"/>
        <w:rPr>
          <w:noProof/>
          <w:sz w:val="24"/>
          <w:szCs w:val="24"/>
          <w:lang w:val="af-ZA"/>
        </w:rPr>
      </w:pPr>
      <w:r w:rsidRPr="00695C3C">
        <w:rPr>
          <w:noProof/>
          <w:sz w:val="24"/>
          <w:szCs w:val="24"/>
          <w:lang w:val="af-ZA"/>
        </w:rPr>
        <w:t>Dagboeke is reeds uit vir 2020 – verdere nuusbriewe sal oor meer besonderhede beskik, maar neem asseblief kennis van die volgende: CRI Na-</w:t>
      </w:r>
      <w:r w:rsidR="00181ECA">
        <w:rPr>
          <w:noProof/>
          <w:sz w:val="24"/>
          <w:szCs w:val="24"/>
          <w:lang w:val="af-ZA"/>
        </w:rPr>
        <w:t>o</w:t>
      </w:r>
      <w:r w:rsidRPr="00695C3C">
        <w:rPr>
          <w:noProof/>
          <w:sz w:val="24"/>
          <w:szCs w:val="24"/>
          <w:lang w:val="af-ZA"/>
        </w:rPr>
        <w:t>es Werkswinkels: 28-31 Januarie; 3-7 en 11-14 Februarie; CGA Grower Roadshows 10-14 en 17-21 Februarie; AgBIZ-kongres 15-17 Julie; CRI Navorsingsimposium 24-28 Augustus.</w:t>
      </w:r>
    </w:p>
    <w:p w:rsidR="00695C3C" w:rsidRDefault="00695C3C" w:rsidP="00695C3C">
      <w:pPr>
        <w:rPr>
          <w:rFonts w:asciiTheme="minorHAnsi" w:eastAsiaTheme="minorHAnsi" w:hAnsiTheme="minorHAnsi" w:cstheme="minorBidi"/>
          <w:lang w:val="en-US"/>
        </w:rPr>
      </w:pPr>
    </w:p>
    <w:p w:rsidR="00695C3C" w:rsidRDefault="00695C3C" w:rsidP="00695C3C">
      <w:pPr>
        <w:spacing w:after="0"/>
        <w:jc w:val="center"/>
      </w:pPr>
      <w:r w:rsidRPr="00D4003F">
        <w:rPr>
          <w:b/>
          <w:color w:val="0070C0"/>
          <w:sz w:val="20"/>
          <w:szCs w:val="20"/>
        </w:rPr>
        <w:t>DIE CGA GROEP SE MAATSKAPPYE (CRI, RIVER BIOSCIENCE, XSIT, CGA CULTIVAR COMPANY, CGA GROWER DEVELOPMENT COMPANY &amp; CITRUS ACADEMY) WORD DEUR SUIDER-AFRIKA SE SITRUSPRODUSENTE BEFONDS</w:t>
      </w:r>
    </w:p>
    <w:p w:rsidR="005F4137" w:rsidRDefault="005F4137" w:rsidP="005F4137">
      <w:pPr>
        <w:spacing w:after="0" w:line="240" w:lineRule="auto"/>
        <w:jc w:val="both"/>
        <w:rPr>
          <w:bCs/>
        </w:rPr>
      </w:pPr>
    </w:p>
    <w:sectPr w:rsidR="005F4137"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27" w:rsidRDefault="00A13327" w:rsidP="00595E08">
      <w:pPr>
        <w:spacing w:after="0" w:line="240" w:lineRule="auto"/>
      </w:pPr>
      <w:r>
        <w:separator/>
      </w:r>
    </w:p>
  </w:endnote>
  <w:endnote w:type="continuationSeparator" w:id="0">
    <w:p w:rsidR="00A13327" w:rsidRDefault="00A1332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27" w:rsidRDefault="00A13327" w:rsidP="00595E08">
      <w:pPr>
        <w:spacing w:after="0" w:line="240" w:lineRule="auto"/>
      </w:pPr>
      <w:r>
        <w:separator/>
      </w:r>
    </w:p>
  </w:footnote>
  <w:footnote w:type="continuationSeparator" w:id="0">
    <w:p w:rsidR="00A13327" w:rsidRDefault="00A13327"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E541C"/>
    <w:rsid w:val="000F5B14"/>
    <w:rsid w:val="00110F70"/>
    <w:rsid w:val="001218D8"/>
    <w:rsid w:val="00122FC7"/>
    <w:rsid w:val="00136127"/>
    <w:rsid w:val="00174465"/>
    <w:rsid w:val="00175734"/>
    <w:rsid w:val="001757E7"/>
    <w:rsid w:val="00181ECA"/>
    <w:rsid w:val="00185357"/>
    <w:rsid w:val="001A29BD"/>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D122B"/>
    <w:rsid w:val="0030169A"/>
    <w:rsid w:val="00313CB1"/>
    <w:rsid w:val="00352FAF"/>
    <w:rsid w:val="00361403"/>
    <w:rsid w:val="003959C7"/>
    <w:rsid w:val="003C27D4"/>
    <w:rsid w:val="003D70AB"/>
    <w:rsid w:val="003F0C6F"/>
    <w:rsid w:val="003F2574"/>
    <w:rsid w:val="003F6E31"/>
    <w:rsid w:val="003F7804"/>
    <w:rsid w:val="004362E5"/>
    <w:rsid w:val="00455927"/>
    <w:rsid w:val="004645E1"/>
    <w:rsid w:val="00495189"/>
    <w:rsid w:val="00496A4F"/>
    <w:rsid w:val="004C529E"/>
    <w:rsid w:val="004E0F63"/>
    <w:rsid w:val="00502EEB"/>
    <w:rsid w:val="0050561C"/>
    <w:rsid w:val="005330E2"/>
    <w:rsid w:val="00541EB1"/>
    <w:rsid w:val="00562B1F"/>
    <w:rsid w:val="005822CF"/>
    <w:rsid w:val="005859D8"/>
    <w:rsid w:val="00595E08"/>
    <w:rsid w:val="005A5187"/>
    <w:rsid w:val="005B6970"/>
    <w:rsid w:val="005B7B5D"/>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95C3C"/>
    <w:rsid w:val="006A0B6E"/>
    <w:rsid w:val="006E0A15"/>
    <w:rsid w:val="006E394D"/>
    <w:rsid w:val="007264AE"/>
    <w:rsid w:val="00732CB3"/>
    <w:rsid w:val="00756469"/>
    <w:rsid w:val="00756592"/>
    <w:rsid w:val="00757321"/>
    <w:rsid w:val="00761318"/>
    <w:rsid w:val="007666C5"/>
    <w:rsid w:val="007830CC"/>
    <w:rsid w:val="007958FA"/>
    <w:rsid w:val="007A6F34"/>
    <w:rsid w:val="007D4D85"/>
    <w:rsid w:val="007E360C"/>
    <w:rsid w:val="007E6B47"/>
    <w:rsid w:val="0081352C"/>
    <w:rsid w:val="00836320"/>
    <w:rsid w:val="0085133F"/>
    <w:rsid w:val="00852AAD"/>
    <w:rsid w:val="0087221E"/>
    <w:rsid w:val="008755FB"/>
    <w:rsid w:val="008756F8"/>
    <w:rsid w:val="008A23F8"/>
    <w:rsid w:val="008A3110"/>
    <w:rsid w:val="008B1479"/>
    <w:rsid w:val="008B5FDB"/>
    <w:rsid w:val="008B7F6E"/>
    <w:rsid w:val="00912266"/>
    <w:rsid w:val="009206C6"/>
    <w:rsid w:val="00940202"/>
    <w:rsid w:val="00947800"/>
    <w:rsid w:val="00953EE0"/>
    <w:rsid w:val="00954793"/>
    <w:rsid w:val="00954DBD"/>
    <w:rsid w:val="00955884"/>
    <w:rsid w:val="0097764C"/>
    <w:rsid w:val="009A1B72"/>
    <w:rsid w:val="009D0040"/>
    <w:rsid w:val="009D709A"/>
    <w:rsid w:val="00A13327"/>
    <w:rsid w:val="00A20F03"/>
    <w:rsid w:val="00A31AD6"/>
    <w:rsid w:val="00A320B1"/>
    <w:rsid w:val="00A40974"/>
    <w:rsid w:val="00A54595"/>
    <w:rsid w:val="00A837EA"/>
    <w:rsid w:val="00A96822"/>
    <w:rsid w:val="00AA51FF"/>
    <w:rsid w:val="00AB5EC1"/>
    <w:rsid w:val="00AC7D19"/>
    <w:rsid w:val="00B0109A"/>
    <w:rsid w:val="00B04E97"/>
    <w:rsid w:val="00B06DA7"/>
    <w:rsid w:val="00B3410E"/>
    <w:rsid w:val="00B65EBE"/>
    <w:rsid w:val="00B673C4"/>
    <w:rsid w:val="00B76DBE"/>
    <w:rsid w:val="00B84D8D"/>
    <w:rsid w:val="00BA3973"/>
    <w:rsid w:val="00BB0DE8"/>
    <w:rsid w:val="00BB2034"/>
    <w:rsid w:val="00BB4B0B"/>
    <w:rsid w:val="00BC0F93"/>
    <w:rsid w:val="00BE1805"/>
    <w:rsid w:val="00BF0FF8"/>
    <w:rsid w:val="00BF1983"/>
    <w:rsid w:val="00C02E4C"/>
    <w:rsid w:val="00C2737B"/>
    <w:rsid w:val="00C35B43"/>
    <w:rsid w:val="00C41489"/>
    <w:rsid w:val="00C510B2"/>
    <w:rsid w:val="00C51114"/>
    <w:rsid w:val="00CB303A"/>
    <w:rsid w:val="00CC000B"/>
    <w:rsid w:val="00CF5E26"/>
    <w:rsid w:val="00D0558A"/>
    <w:rsid w:val="00D2092A"/>
    <w:rsid w:val="00D219B0"/>
    <w:rsid w:val="00D278A3"/>
    <w:rsid w:val="00D67D4B"/>
    <w:rsid w:val="00D84A21"/>
    <w:rsid w:val="00D94669"/>
    <w:rsid w:val="00DA0CE9"/>
    <w:rsid w:val="00DC4F50"/>
    <w:rsid w:val="00DD3275"/>
    <w:rsid w:val="00DE100B"/>
    <w:rsid w:val="00E017AC"/>
    <w:rsid w:val="00E0676F"/>
    <w:rsid w:val="00E14724"/>
    <w:rsid w:val="00E31082"/>
    <w:rsid w:val="00E3323F"/>
    <w:rsid w:val="00E40090"/>
    <w:rsid w:val="00E43E76"/>
    <w:rsid w:val="00EA7106"/>
    <w:rsid w:val="00EA717C"/>
    <w:rsid w:val="00ED209B"/>
    <w:rsid w:val="00EE395A"/>
    <w:rsid w:val="00F208EC"/>
    <w:rsid w:val="00F26119"/>
    <w:rsid w:val="00F34519"/>
    <w:rsid w:val="00F40554"/>
    <w:rsid w:val="00F679DE"/>
    <w:rsid w:val="00F867C4"/>
    <w:rsid w:val="00FA06B9"/>
    <w:rsid w:val="00FA6F1F"/>
    <w:rsid w:val="00FE752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699">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927947">
      <w:bodyDiv w:val="1"/>
      <w:marLeft w:val="0"/>
      <w:marRight w:val="0"/>
      <w:marTop w:val="0"/>
      <w:marBottom w:val="0"/>
      <w:divBdr>
        <w:top w:val="none" w:sz="0" w:space="0" w:color="auto"/>
        <w:left w:val="none" w:sz="0" w:space="0" w:color="auto"/>
        <w:bottom w:val="none" w:sz="0" w:space="0" w:color="auto"/>
        <w:right w:val="none" w:sz="0" w:space="0" w:color="auto"/>
      </w:divBdr>
    </w:div>
    <w:div w:id="580799902">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63506158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61455450">
      <w:bodyDiv w:val="1"/>
      <w:marLeft w:val="0"/>
      <w:marRight w:val="0"/>
      <w:marTop w:val="0"/>
      <w:marBottom w:val="0"/>
      <w:divBdr>
        <w:top w:val="none" w:sz="0" w:space="0" w:color="auto"/>
        <w:left w:val="none" w:sz="0" w:space="0" w:color="auto"/>
        <w:bottom w:val="none" w:sz="0" w:space="0" w:color="auto"/>
        <w:right w:val="none" w:sz="0" w:space="0" w:color="auto"/>
      </w:divBdr>
    </w:div>
    <w:div w:id="20531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3.png@01D5A07A.53390E0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Focus%20Groups\Soft%20Citrus%20FG_2019\Valencia%20Work%20book.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Southern African Valencia Exports 15kg Cartons</a:t>
            </a:r>
          </a:p>
        </c:rich>
      </c:tx>
      <c:layout>
        <c:manualLayout>
          <c:xMode val="edge"/>
          <c:yMode val="edge"/>
          <c:x val="0.13530313240856218"/>
          <c:y val="3.04975532772248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86748323126276"/>
          <c:y val="0.2212540830515308"/>
          <c:w val="0.88150573125817866"/>
          <c:h val="0.64987319139051924"/>
        </c:manualLayout>
      </c:layout>
      <c:barChart>
        <c:barDir val="col"/>
        <c:grouping val="clustered"/>
        <c:varyColors val="0"/>
        <c:ser>
          <c:idx val="0"/>
          <c:order val="0"/>
          <c:tx>
            <c:strRef>
              <c:f>'C:\Users\Portia\Google Drive\Documents\2019 Season Summaries\1_Portia\[2019 Citrus data and graphs.xlsx]Valencia'!$W$18:$W$20</c:f>
              <c:strCache>
                <c:ptCount val="1"/>
              </c:strCache>
            </c:strRef>
          </c:tx>
          <c:spPr>
            <a:solidFill>
              <a:srgbClr val="FFFF00"/>
            </a:solidFill>
            <a:ln>
              <a:noFill/>
            </a:ln>
            <a:effectLst/>
          </c:spPr>
          <c:invertIfNegative val="0"/>
          <c:dPt>
            <c:idx val="7"/>
            <c:invertIfNegative val="0"/>
            <c:bubble3D val="0"/>
            <c:extLst xmlns:c16r2="http://schemas.microsoft.com/office/drawing/2015/06/chart">
              <c:ext xmlns:c16="http://schemas.microsoft.com/office/drawing/2014/chart" uri="{C3380CC4-5D6E-409C-BE32-E72D297353CC}">
                <c16:uniqueId val="{00000000-27D5-499E-9ED3-AD222CC63A9E}"/>
              </c:ext>
            </c:extLst>
          </c:dPt>
          <c:dPt>
            <c:idx val="8"/>
            <c:invertIfNegative val="0"/>
            <c:bubble3D val="0"/>
            <c:extLst xmlns:c16r2="http://schemas.microsoft.com/office/drawing/2015/06/chart">
              <c:ext xmlns:c16="http://schemas.microsoft.com/office/drawing/2014/chart" uri="{C3380CC4-5D6E-409C-BE32-E72D297353CC}">
                <c16:uniqueId val="{00000001-27D5-499E-9ED3-AD222CC63A9E}"/>
              </c:ext>
            </c:extLst>
          </c:dPt>
          <c:dPt>
            <c:idx val="9"/>
            <c:invertIfNegative val="0"/>
            <c:bubble3D val="0"/>
            <c:spPr>
              <a:pattFill prst="dkUpDiag">
                <a:fgClr>
                  <a:srgbClr val="FF0000"/>
                </a:fgClr>
                <a:bgClr>
                  <a:schemeClr val="bg1"/>
                </a:bgClr>
              </a:pattFill>
              <a:ln>
                <a:noFill/>
              </a:ln>
              <a:effectLst/>
            </c:spPr>
            <c:extLst xmlns:c16r2="http://schemas.microsoft.com/office/drawing/2015/06/chart">
              <c:ext xmlns:c16="http://schemas.microsoft.com/office/drawing/2014/chart" uri="{C3380CC4-5D6E-409C-BE32-E72D297353CC}">
                <c16:uniqueId val="{00000003-27D5-499E-9ED3-AD222CC63A9E}"/>
              </c:ext>
            </c:extLst>
          </c:dPt>
          <c:dPt>
            <c:idx val="1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5-27D5-499E-9ED3-AD222CC63A9E}"/>
              </c:ext>
            </c:extLst>
          </c:dPt>
          <c:dPt>
            <c:idx val="11"/>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27D5-499E-9ED3-AD222CC63A9E}"/>
              </c:ext>
            </c:extLst>
          </c:dPt>
          <c:dPt>
            <c:idx val="12"/>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9-27D5-499E-9ED3-AD222CC63A9E}"/>
              </c:ext>
            </c:extLst>
          </c:dPt>
          <c:dLbls>
            <c:delete val="1"/>
          </c:dLbls>
          <c:cat>
            <c:strRef>
              <c:f>[1]Valencia!$A$26:$A$36</c:f>
              <c:strCache>
                <c:ptCount val="10"/>
                <c:pt idx="0">
                  <c:v>2010</c:v>
                </c:pt>
                <c:pt idx="1">
                  <c:v>2011</c:v>
                </c:pt>
                <c:pt idx="2">
                  <c:v>2012</c:v>
                </c:pt>
                <c:pt idx="3">
                  <c:v>2013</c:v>
                </c:pt>
                <c:pt idx="4">
                  <c:v>2014</c:v>
                </c:pt>
                <c:pt idx="5">
                  <c:v>2015</c:v>
                </c:pt>
                <c:pt idx="6">
                  <c:v>2016</c:v>
                </c:pt>
                <c:pt idx="7">
                  <c:v>2017</c:v>
                </c:pt>
                <c:pt idx="8">
                  <c:v>2018</c:v>
                </c:pt>
                <c:pt idx="9">
                  <c:v>2019</c:v>
                </c:pt>
              </c:strCache>
              <c:extLst xmlns:c16r2="http://schemas.microsoft.com/office/drawing/2015/06/chart"/>
            </c:strRef>
          </c:cat>
          <c:val>
            <c:numRef>
              <c:f>[1]Valencia!$E$26:$E$36</c:f>
              <c:numCache>
                <c:formatCode>General</c:formatCode>
                <c:ptCount val="10"/>
                <c:pt idx="0">
                  <c:v>48339756.350003362</c:v>
                </c:pt>
                <c:pt idx="1">
                  <c:v>44169934.580000006</c:v>
                </c:pt>
                <c:pt idx="2">
                  <c:v>47289860</c:v>
                </c:pt>
                <c:pt idx="3">
                  <c:v>51407688</c:v>
                </c:pt>
                <c:pt idx="4">
                  <c:v>50865046</c:v>
                </c:pt>
                <c:pt idx="5">
                  <c:v>52707174</c:v>
                </c:pt>
                <c:pt idx="6">
                  <c:v>42066556</c:v>
                </c:pt>
                <c:pt idx="7">
                  <c:v>53951680</c:v>
                </c:pt>
                <c:pt idx="8">
                  <c:v>54417509</c:v>
                </c:pt>
                <c:pt idx="9">
                  <c:v>46886000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A-27D5-499E-9ED3-AD222CC63A9E}"/>
            </c:ext>
          </c:extLst>
        </c:ser>
        <c:dLbls>
          <c:dLblPos val="outEnd"/>
          <c:showLegendKey val="0"/>
          <c:showVal val="1"/>
          <c:showCatName val="0"/>
          <c:showSerName val="0"/>
          <c:showPercent val="0"/>
          <c:showBubbleSize val="0"/>
        </c:dLbls>
        <c:gapWidth val="219"/>
        <c:overlap val="-27"/>
        <c:axId val="356182696"/>
        <c:axId val="356183872"/>
      </c:barChart>
      <c:catAx>
        <c:axId val="356182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83872"/>
        <c:crosses val="autoZero"/>
        <c:auto val="1"/>
        <c:lblAlgn val="ctr"/>
        <c:lblOffset val="100"/>
        <c:noMultiLvlLbl val="0"/>
      </c:catAx>
      <c:valAx>
        <c:axId val="35618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82696"/>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0.01098</cdr:x>
      <cdr:y>0.31377</cdr:y>
    </cdr:from>
    <cdr:to>
      <cdr:x>0.04748</cdr:x>
      <cdr:y>0.74637</cdr:y>
    </cdr:to>
    <cdr:sp macro="" textlink="">
      <cdr:nvSpPr>
        <cdr:cNvPr id="2" name="TextBox 1"/>
        <cdr:cNvSpPr txBox="1"/>
      </cdr:nvSpPr>
      <cdr:spPr>
        <a:xfrm xmlns:a="http://schemas.openxmlformats.org/drawingml/2006/main">
          <a:off x="47714" y="839016"/>
          <a:ext cx="158673" cy="1156765"/>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r>
            <a:rPr lang="en-ZA" sz="1000"/>
            <a:t>Million 15kg Cartons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dcterms:created xsi:type="dcterms:W3CDTF">2019-11-29T10:20:00Z</dcterms:created>
  <dcterms:modified xsi:type="dcterms:W3CDTF">2019-11-29T10:20:00Z</dcterms:modified>
</cp:coreProperties>
</file>