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42" w:type="pct"/>
        <w:tblCellSpacing w:w="0" w:type="dxa"/>
        <w:tblInd w:w="-743" w:type="dxa"/>
        <w:tblCellMar>
          <w:top w:w="15" w:type="dxa"/>
          <w:bottom w:w="15" w:type="dxa"/>
        </w:tblCellMar>
        <w:tblLook w:val="00A0" w:firstRow="1" w:lastRow="0" w:firstColumn="1" w:lastColumn="0" w:noHBand="0" w:noVBand="0"/>
      </w:tblPr>
      <w:tblGrid>
        <w:gridCol w:w="10884"/>
      </w:tblGrid>
      <w:tr w:rsidR="00F553C7" w:rsidRPr="00901D81" w14:paraId="3423824A" w14:textId="77777777" w:rsidTr="002748C7">
        <w:trPr>
          <w:trHeight w:val="15575"/>
          <w:tblCellSpacing w:w="0" w:type="dxa"/>
        </w:trPr>
        <w:tc>
          <w:tcPr>
            <w:tcW w:w="10883" w:type="dxa"/>
            <w:shd w:val="clear" w:color="auto" w:fill="auto"/>
            <w:vAlign w:val="center"/>
          </w:tcPr>
          <w:tbl>
            <w:tblPr>
              <w:tblW w:w="10668" w:type="dxa"/>
              <w:tblCellSpacing w:w="0" w:type="dxa"/>
              <w:tblCellMar>
                <w:top w:w="15" w:type="dxa"/>
                <w:left w:w="15" w:type="dxa"/>
                <w:bottom w:w="15" w:type="dxa"/>
                <w:right w:w="15" w:type="dxa"/>
              </w:tblCellMar>
              <w:tblLook w:val="04A0" w:firstRow="1" w:lastRow="0" w:firstColumn="1" w:lastColumn="0" w:noHBand="0" w:noVBand="1"/>
            </w:tblPr>
            <w:tblGrid>
              <w:gridCol w:w="10668"/>
            </w:tblGrid>
            <w:tr w:rsidR="00F553C7" w:rsidRPr="00943C7C" w14:paraId="0A60CBA3" w14:textId="77777777" w:rsidTr="002748C7">
              <w:trPr>
                <w:trHeight w:val="1323"/>
                <w:tblCellSpacing w:w="0" w:type="dxa"/>
              </w:trPr>
              <w:tc>
                <w:tcPr>
                  <w:tcW w:w="10668" w:type="dxa"/>
                  <w:shd w:val="clear" w:color="auto" w:fill="auto"/>
                  <w:tcMar>
                    <w:top w:w="67" w:type="dxa"/>
                    <w:left w:w="67" w:type="dxa"/>
                    <w:bottom w:w="67" w:type="dxa"/>
                    <w:right w:w="67" w:type="dxa"/>
                  </w:tcMar>
                  <w:hideMark/>
                </w:tcPr>
                <w:bookmarkStart w:id="0" w:name="_GoBack"/>
                <w:bookmarkEnd w:id="0"/>
                <w:p w14:paraId="7D8C4C87" w14:textId="1DF0F9E4" w:rsidR="00B54D08" w:rsidRPr="00943C7C" w:rsidRDefault="00DA4B02" w:rsidP="00D12010">
                  <w:pPr>
                    <w:spacing w:after="0" w:line="240" w:lineRule="auto"/>
                    <w:jc w:val="right"/>
                    <w:rPr>
                      <w:rFonts w:ascii="Comic Sans MS" w:hAnsi="Comic Sans MS"/>
                      <w:b/>
                      <w:i/>
                      <w:noProof/>
                      <w:sz w:val="32"/>
                      <w:szCs w:val="32"/>
                      <w:lang w:val="af-ZA"/>
                    </w:rPr>
                  </w:pPr>
                  <w:r w:rsidRPr="00943C7C">
                    <w:rPr>
                      <w:noProof/>
                      <w:sz w:val="20"/>
                      <w:szCs w:val="20"/>
                      <w:lang w:val="en-US"/>
                    </w:rPr>
                    <mc:AlternateContent>
                      <mc:Choice Requires="wps">
                        <w:drawing>
                          <wp:anchor distT="45720" distB="45720" distL="114300" distR="114300" simplePos="0" relativeHeight="251658240" behindDoc="0" locked="0" layoutInCell="1" allowOverlap="1" wp14:anchorId="105F2A27" wp14:editId="04BDA469">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14:paraId="3BE271F9" w14:textId="677A5EAB" w:rsidR="00044293" w:rsidRPr="00943C7C" w:rsidRDefault="00943C7C"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943C7C">
                                          <w:rPr>
                                            <w:rFonts w:ascii="Comic Sans MS" w:hAnsi="Comic Sans MS"/>
                                            <w:b/>
                                            <w:i/>
                                            <w:noProof/>
                                            <w:sz w:val="32"/>
                                            <w:szCs w:val="32"/>
                                            <w:lang w:val="af-ZA"/>
                                          </w:rPr>
                                          <w:t>CEO</w:t>
                                        </w:r>
                                        <w:r w:rsidR="003502D7" w:rsidRPr="00943C7C">
                                          <w:rPr>
                                            <w:rFonts w:ascii="Comic Sans MS" w:hAnsi="Comic Sans MS"/>
                                            <w:b/>
                                            <w:i/>
                                            <w:noProof/>
                                            <w:sz w:val="32"/>
                                            <w:szCs w:val="32"/>
                                            <w:lang w:val="af-ZA"/>
                                          </w:rPr>
                                          <w:t xml:space="preserve"> (28</w:t>
                                        </w:r>
                                        <w:r w:rsidR="00044293" w:rsidRPr="00943C7C">
                                          <w:rPr>
                                            <w:rFonts w:ascii="Comic Sans MS" w:hAnsi="Comic Sans MS"/>
                                            <w:b/>
                                            <w:i/>
                                            <w:noProof/>
                                            <w:sz w:val="32"/>
                                            <w:szCs w:val="32"/>
                                            <w:lang w:val="af-ZA"/>
                                          </w:rPr>
                                          <w:t>/17)</w:t>
                                        </w:r>
                                      </w:p>
                                      <w:p w14:paraId="793B2E56" w14:textId="63354473" w:rsidR="00044293" w:rsidRPr="00943C7C" w:rsidRDefault="00044293" w:rsidP="00DA4B02">
                                        <w:pPr>
                                          <w:spacing w:line="240" w:lineRule="auto"/>
                                          <w:rPr>
                                            <w:rFonts w:ascii="Comic Sans MS" w:hAnsi="Comic Sans MS"/>
                                            <w:noProof/>
                                            <w:sz w:val="20"/>
                                            <w:szCs w:val="20"/>
                                            <w:lang w:val="af-ZA"/>
                                          </w:rPr>
                                        </w:pPr>
                                        <w:r w:rsidRPr="00943C7C">
                                          <w:rPr>
                                            <w:rFonts w:ascii="Comic Sans MS" w:hAnsi="Comic Sans MS"/>
                                            <w:noProof/>
                                            <w:sz w:val="20"/>
                                            <w:szCs w:val="20"/>
                                            <w:lang w:val="af-ZA"/>
                                          </w:rPr>
                                          <w:t>(</w:t>
                                        </w:r>
                                        <w:r w:rsidR="00943C7C">
                                          <w:rPr>
                                            <w:rFonts w:ascii="Comic Sans MS" w:hAnsi="Comic Sans MS"/>
                                            <w:noProof/>
                                            <w:sz w:val="20"/>
                                            <w:szCs w:val="20"/>
                                            <w:lang w:val="af-ZA"/>
                                          </w:rPr>
                                          <w:t xml:space="preserve">Volg my op </w:t>
                                        </w:r>
                                        <w:r w:rsidRPr="00943C7C">
                                          <w:rPr>
                                            <w:rFonts w:ascii="Comic Sans MS" w:hAnsi="Comic Sans MS"/>
                                            <w:noProof/>
                                            <w:sz w:val="20"/>
                                            <w:szCs w:val="20"/>
                                            <w:lang w:val="af-ZA"/>
                                          </w:rPr>
                                          <w:t>Twitter justchad_cga)</w:t>
                                        </w:r>
                                      </w:p>
                                      <w:p w14:paraId="6E6D81C4" w14:textId="60CBFD58" w:rsidR="00044293" w:rsidRPr="00943C7C" w:rsidRDefault="003502D7" w:rsidP="00DA4B02">
                                        <w:pPr>
                                          <w:spacing w:line="240" w:lineRule="auto"/>
                                          <w:rPr>
                                            <w:noProof/>
                                            <w:lang w:val="af-ZA"/>
                                          </w:rPr>
                                        </w:pPr>
                                        <w:r w:rsidRPr="00943C7C">
                                          <w:rPr>
                                            <w:rFonts w:ascii="Comic Sans MS" w:hAnsi="Comic Sans MS"/>
                                            <w:i/>
                                            <w:noProof/>
                                            <w:sz w:val="20"/>
                                            <w:szCs w:val="20"/>
                                            <w:lang w:val="af-ZA"/>
                                          </w:rPr>
                                          <w:t>Justin Chadwick 28</w:t>
                                        </w:r>
                                        <w:r w:rsidR="00943C7C">
                                          <w:rPr>
                                            <w:rFonts w:ascii="Comic Sans MS" w:hAnsi="Comic Sans MS"/>
                                            <w:i/>
                                            <w:noProof/>
                                            <w:sz w:val="20"/>
                                            <w:szCs w:val="20"/>
                                            <w:lang w:val="af-ZA"/>
                                          </w:rPr>
                                          <w:t xml:space="preserve"> Julie</w:t>
                                        </w:r>
                                        <w:r w:rsidR="00783644" w:rsidRPr="00943C7C">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F2A27"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14:paraId="3BE271F9" w14:textId="677A5EAB" w:rsidR="00044293" w:rsidRPr="00943C7C" w:rsidRDefault="00943C7C"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943C7C">
                                    <w:rPr>
                                      <w:rFonts w:ascii="Comic Sans MS" w:hAnsi="Comic Sans MS"/>
                                      <w:b/>
                                      <w:i/>
                                      <w:noProof/>
                                      <w:sz w:val="32"/>
                                      <w:szCs w:val="32"/>
                                      <w:lang w:val="af-ZA"/>
                                    </w:rPr>
                                    <w:t>CEO</w:t>
                                  </w:r>
                                  <w:r w:rsidR="003502D7" w:rsidRPr="00943C7C">
                                    <w:rPr>
                                      <w:rFonts w:ascii="Comic Sans MS" w:hAnsi="Comic Sans MS"/>
                                      <w:b/>
                                      <w:i/>
                                      <w:noProof/>
                                      <w:sz w:val="32"/>
                                      <w:szCs w:val="32"/>
                                      <w:lang w:val="af-ZA"/>
                                    </w:rPr>
                                    <w:t xml:space="preserve"> (28</w:t>
                                  </w:r>
                                  <w:r w:rsidR="00044293" w:rsidRPr="00943C7C">
                                    <w:rPr>
                                      <w:rFonts w:ascii="Comic Sans MS" w:hAnsi="Comic Sans MS"/>
                                      <w:b/>
                                      <w:i/>
                                      <w:noProof/>
                                      <w:sz w:val="32"/>
                                      <w:szCs w:val="32"/>
                                      <w:lang w:val="af-ZA"/>
                                    </w:rPr>
                                    <w:t>/17)</w:t>
                                  </w:r>
                                </w:p>
                                <w:p w14:paraId="793B2E56" w14:textId="63354473" w:rsidR="00044293" w:rsidRPr="00943C7C" w:rsidRDefault="00044293" w:rsidP="00DA4B02">
                                  <w:pPr>
                                    <w:spacing w:line="240" w:lineRule="auto"/>
                                    <w:rPr>
                                      <w:rFonts w:ascii="Comic Sans MS" w:hAnsi="Comic Sans MS"/>
                                      <w:noProof/>
                                      <w:sz w:val="20"/>
                                      <w:szCs w:val="20"/>
                                      <w:lang w:val="af-ZA"/>
                                    </w:rPr>
                                  </w:pPr>
                                  <w:r w:rsidRPr="00943C7C">
                                    <w:rPr>
                                      <w:rFonts w:ascii="Comic Sans MS" w:hAnsi="Comic Sans MS"/>
                                      <w:noProof/>
                                      <w:sz w:val="20"/>
                                      <w:szCs w:val="20"/>
                                      <w:lang w:val="af-ZA"/>
                                    </w:rPr>
                                    <w:t>(</w:t>
                                  </w:r>
                                  <w:r w:rsidR="00943C7C">
                                    <w:rPr>
                                      <w:rFonts w:ascii="Comic Sans MS" w:hAnsi="Comic Sans MS"/>
                                      <w:noProof/>
                                      <w:sz w:val="20"/>
                                      <w:szCs w:val="20"/>
                                      <w:lang w:val="af-ZA"/>
                                    </w:rPr>
                                    <w:t xml:space="preserve">Volg my op </w:t>
                                  </w:r>
                                  <w:r w:rsidRPr="00943C7C">
                                    <w:rPr>
                                      <w:rFonts w:ascii="Comic Sans MS" w:hAnsi="Comic Sans MS"/>
                                      <w:noProof/>
                                      <w:sz w:val="20"/>
                                      <w:szCs w:val="20"/>
                                      <w:lang w:val="af-ZA"/>
                                    </w:rPr>
                                    <w:t>Twitter justchad_cga)</w:t>
                                  </w:r>
                                </w:p>
                                <w:p w14:paraId="6E6D81C4" w14:textId="60CBFD58" w:rsidR="00044293" w:rsidRPr="00943C7C" w:rsidRDefault="003502D7" w:rsidP="00DA4B02">
                                  <w:pPr>
                                    <w:spacing w:line="240" w:lineRule="auto"/>
                                    <w:rPr>
                                      <w:noProof/>
                                      <w:lang w:val="af-ZA"/>
                                    </w:rPr>
                                  </w:pPr>
                                  <w:r w:rsidRPr="00943C7C">
                                    <w:rPr>
                                      <w:rFonts w:ascii="Comic Sans MS" w:hAnsi="Comic Sans MS"/>
                                      <w:i/>
                                      <w:noProof/>
                                      <w:sz w:val="20"/>
                                      <w:szCs w:val="20"/>
                                      <w:lang w:val="af-ZA"/>
                                    </w:rPr>
                                    <w:t>Justin Chadwick 28</w:t>
                                  </w:r>
                                  <w:r w:rsidR="00943C7C">
                                    <w:rPr>
                                      <w:rFonts w:ascii="Comic Sans MS" w:hAnsi="Comic Sans MS"/>
                                      <w:i/>
                                      <w:noProof/>
                                      <w:sz w:val="20"/>
                                      <w:szCs w:val="20"/>
                                      <w:lang w:val="af-ZA"/>
                                    </w:rPr>
                                    <w:t xml:space="preserve"> Julie</w:t>
                                  </w:r>
                                  <w:r w:rsidR="00783644" w:rsidRPr="00943C7C">
                                    <w:rPr>
                                      <w:rFonts w:ascii="Comic Sans MS" w:hAnsi="Comic Sans MS"/>
                                      <w:i/>
                                      <w:noProof/>
                                      <w:sz w:val="20"/>
                                      <w:szCs w:val="20"/>
                                      <w:lang w:val="af-ZA"/>
                                    </w:rPr>
                                    <w:t xml:space="preserve"> 2017</w:t>
                                  </w:r>
                                </w:p>
                              </w:txbxContent>
                            </v:textbox>
                            <w10:wrap type="square" anchorx="margin" anchory="margin"/>
                          </v:shape>
                        </w:pict>
                      </mc:Fallback>
                    </mc:AlternateContent>
                  </w:r>
                  <w:r w:rsidR="00064F3C" w:rsidRPr="00943C7C">
                    <w:rPr>
                      <w:rFonts w:ascii="Comic Sans MS" w:hAnsi="Comic Sans MS"/>
                      <w:b/>
                      <w:i/>
                      <w:noProof/>
                      <w:sz w:val="32"/>
                      <w:szCs w:val="32"/>
                      <w:lang w:val="af-ZA"/>
                    </w:rPr>
                    <w:t xml:space="preserve">                </w:t>
                  </w:r>
                  <w:r w:rsidR="00CF00EB" w:rsidRPr="00943C7C">
                    <w:rPr>
                      <w:rFonts w:ascii="Comic Sans MS" w:hAnsi="Comic Sans MS"/>
                      <w:b/>
                      <w:i/>
                      <w:noProof/>
                      <w:sz w:val="32"/>
                      <w:szCs w:val="32"/>
                      <w:lang w:val="af-ZA"/>
                    </w:rPr>
                    <w:t xml:space="preserve">  </w:t>
                  </w:r>
                  <w:r w:rsidRPr="00943C7C">
                    <w:rPr>
                      <w:noProof/>
                      <w:lang w:val="en-US"/>
                    </w:rPr>
                    <w:drawing>
                      <wp:anchor distT="0" distB="0" distL="114300" distR="114300" simplePos="0" relativeHeight="251660288" behindDoc="0" locked="0" layoutInCell="1" allowOverlap="1" wp14:anchorId="262F4E3E" wp14:editId="7FD9638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sidRPr="00943C7C">
                    <w:rPr>
                      <w:rFonts w:ascii="Times New Roman" w:hAnsi="Times New Roman"/>
                      <w:noProof/>
                      <w:sz w:val="24"/>
                      <w:szCs w:val="24"/>
                      <w:lang w:val="af-ZA"/>
                    </w:rPr>
                    <w:t xml:space="preserve"> </w:t>
                  </w:r>
                </w:p>
              </w:tc>
            </w:tr>
            <w:tr w:rsidR="00F553C7" w:rsidRPr="00943C7C" w14:paraId="0925F34A" w14:textId="77777777" w:rsidTr="002748C7">
              <w:trPr>
                <w:trHeight w:val="43"/>
                <w:tblCellSpacing w:w="0" w:type="dxa"/>
              </w:trPr>
              <w:tc>
                <w:tcPr>
                  <w:tcW w:w="10668" w:type="dxa"/>
                  <w:vAlign w:val="center"/>
                  <w:hideMark/>
                </w:tcPr>
                <w:p w14:paraId="3E70D19B" w14:textId="76869226" w:rsidR="00F553C7" w:rsidRPr="00943C7C" w:rsidRDefault="00F553C7" w:rsidP="00F16A3A">
                  <w:pPr>
                    <w:pStyle w:val="NormalWeb"/>
                    <w:widowControl w:val="0"/>
                    <w:spacing w:before="0" w:beforeAutospacing="0" w:after="0" w:afterAutospacing="0"/>
                    <w:rPr>
                      <w:rFonts w:ascii="Arial" w:hAnsi="Arial" w:cs="Arial"/>
                      <w:b/>
                      <w:i/>
                      <w:noProof/>
                      <w:color w:val="auto"/>
                      <w:sz w:val="6"/>
                      <w:szCs w:val="6"/>
                      <w:lang w:val="af-ZA"/>
                    </w:rPr>
                  </w:pPr>
                </w:p>
              </w:tc>
            </w:tr>
          </w:tbl>
          <w:p w14:paraId="0FF31868" w14:textId="563D2CF6" w:rsidR="00C70360" w:rsidRPr="00943C7C" w:rsidRDefault="00C3307A" w:rsidP="00225B4A">
            <w:pPr>
              <w:spacing w:after="0" w:line="240" w:lineRule="auto"/>
              <w:rPr>
                <w:rFonts w:ascii="Arial" w:eastAsia="Times New Roman" w:hAnsi="Arial" w:cs="Arial"/>
                <w:b/>
                <w:i/>
                <w:noProof/>
                <w:color w:val="181818"/>
                <w:sz w:val="24"/>
                <w:szCs w:val="24"/>
                <w:lang w:val="af-ZA"/>
              </w:rPr>
            </w:pPr>
            <w:r w:rsidRPr="00943C7C">
              <w:rPr>
                <w:rFonts w:ascii="Arial" w:eastAsia="Times New Roman" w:hAnsi="Arial" w:cs="Arial"/>
                <w:b/>
                <w:i/>
                <w:noProof/>
                <w:color w:val="181818"/>
                <w:sz w:val="24"/>
                <w:szCs w:val="24"/>
                <w:lang w:val="af-ZA"/>
              </w:rPr>
              <w:t>“If the only tool that you have is a hammer, you tend to see every problem as a nail” Abraham Maslow</w:t>
            </w:r>
          </w:p>
          <w:tbl>
            <w:tblPr>
              <w:tblW w:w="10663" w:type="dxa"/>
              <w:tblCellSpacing w:w="0" w:type="dxa"/>
              <w:tblCellMar>
                <w:top w:w="15" w:type="dxa"/>
                <w:left w:w="15" w:type="dxa"/>
                <w:bottom w:w="15" w:type="dxa"/>
                <w:right w:w="15" w:type="dxa"/>
              </w:tblCellMar>
              <w:tblLook w:val="04A0" w:firstRow="1" w:lastRow="0" w:firstColumn="1" w:lastColumn="0" w:noHBand="0" w:noVBand="1"/>
            </w:tblPr>
            <w:tblGrid>
              <w:gridCol w:w="10663"/>
            </w:tblGrid>
            <w:tr w:rsidR="00E731E5" w:rsidRPr="00943C7C" w14:paraId="0CFCFBD6" w14:textId="77777777" w:rsidTr="002748C7">
              <w:trPr>
                <w:trHeight w:val="49"/>
                <w:tblCellSpacing w:w="0" w:type="dxa"/>
              </w:trPr>
              <w:tc>
                <w:tcPr>
                  <w:tcW w:w="10663" w:type="dxa"/>
                  <w:vAlign w:val="center"/>
                  <w:hideMark/>
                </w:tcPr>
                <w:p w14:paraId="7BFBFBEF" w14:textId="1ACB19F6" w:rsidR="00E731E5" w:rsidRPr="00943C7C" w:rsidRDefault="00E731E5" w:rsidP="00E731E5">
                  <w:pPr>
                    <w:pStyle w:val="NormalWeb"/>
                    <w:widowControl w:val="0"/>
                    <w:spacing w:before="0" w:beforeAutospacing="0" w:after="0" w:afterAutospacing="0"/>
                    <w:rPr>
                      <w:rFonts w:ascii="Arial" w:hAnsi="Arial" w:cs="Arial"/>
                      <w:b/>
                      <w:i/>
                      <w:noProof/>
                      <w:color w:val="auto"/>
                      <w:sz w:val="6"/>
                      <w:szCs w:val="6"/>
                      <w:lang w:val="af-ZA"/>
                    </w:rPr>
                  </w:pPr>
                </w:p>
              </w:tc>
            </w:tr>
          </w:tbl>
          <w:p w14:paraId="2F51E808" w14:textId="77777777" w:rsidR="00943C7C" w:rsidRPr="002748C7" w:rsidRDefault="00943C7C" w:rsidP="00943C7C">
            <w:pPr>
              <w:spacing w:after="0" w:line="240" w:lineRule="auto"/>
              <w:rPr>
                <w:rFonts w:ascii="Arial" w:hAnsi="Arial" w:cs="Arial"/>
                <w:b/>
                <w:noProof/>
                <w:color w:val="FF0000"/>
                <w:sz w:val="20"/>
                <w:u w:val="single"/>
                <w:lang w:val="af-ZA"/>
              </w:rPr>
            </w:pPr>
            <w:r w:rsidRPr="002748C7">
              <w:rPr>
                <w:rFonts w:ascii="Arial" w:hAnsi="Arial" w:cs="Arial"/>
                <w:b/>
                <w:noProof/>
                <w:color w:val="FF0000"/>
                <w:sz w:val="20"/>
                <w:u w:val="single"/>
                <w:lang w:val="af-ZA"/>
              </w:rPr>
              <w:t>ONDERSKEPPINGS VAN SKADELIKE ORGANISMES IN DIE EUROPESE UNIE</w:t>
            </w:r>
          </w:p>
          <w:p w14:paraId="743F56D7" w14:textId="539CF8A5" w:rsidR="00943C7C" w:rsidRPr="002748C7" w:rsidRDefault="00943C7C" w:rsidP="00943C7C">
            <w:pPr>
              <w:spacing w:line="240" w:lineRule="auto"/>
              <w:rPr>
                <w:rFonts w:ascii="Arial" w:hAnsi="Arial" w:cs="Arial"/>
                <w:noProof/>
                <w:sz w:val="20"/>
                <w:lang w:val="af-ZA"/>
              </w:rPr>
            </w:pPr>
            <w:r w:rsidRPr="002748C7">
              <w:rPr>
                <w:rFonts w:ascii="Arial" w:hAnsi="Arial" w:cs="Arial"/>
                <w:noProof/>
                <w:sz w:val="20"/>
                <w:lang w:val="af-ZA"/>
              </w:rPr>
              <w:t>Elke maand publiseer die EU op hul plantgesondheidswebwerf 'n lys van onderskeppings va</w:t>
            </w:r>
            <w:r w:rsidR="000C7667" w:rsidRPr="002748C7">
              <w:rPr>
                <w:rFonts w:ascii="Arial" w:hAnsi="Arial" w:cs="Arial"/>
                <w:noProof/>
                <w:sz w:val="20"/>
                <w:lang w:val="af-ZA"/>
              </w:rPr>
              <w:t>n</w:t>
            </w:r>
            <w:r w:rsidRPr="002748C7">
              <w:rPr>
                <w:rFonts w:ascii="Arial" w:hAnsi="Arial" w:cs="Arial"/>
                <w:noProof/>
                <w:sz w:val="20"/>
                <w:lang w:val="af-ZA"/>
              </w:rPr>
              <w:t xml:space="preserve"> invoere wat nie aan die invoervereistes voldoen </w:t>
            </w:r>
            <w:r w:rsidR="00360880" w:rsidRPr="002748C7">
              <w:rPr>
                <w:rFonts w:ascii="Arial" w:hAnsi="Arial" w:cs="Arial"/>
                <w:noProof/>
                <w:sz w:val="20"/>
                <w:lang w:val="af-ZA"/>
              </w:rPr>
              <w:t xml:space="preserve">het </w:t>
            </w:r>
            <w:r w:rsidRPr="002748C7">
              <w:rPr>
                <w:rFonts w:ascii="Arial" w:hAnsi="Arial" w:cs="Arial"/>
                <w:noProof/>
                <w:sz w:val="20"/>
                <w:lang w:val="af-ZA"/>
              </w:rPr>
              <w:t xml:space="preserve">nie. Onlangs het hul ‘n verslag </w:t>
            </w:r>
            <w:r w:rsidR="00360880" w:rsidRPr="002748C7">
              <w:rPr>
                <w:rFonts w:ascii="Arial" w:hAnsi="Arial" w:cs="Arial"/>
                <w:noProof/>
                <w:sz w:val="20"/>
                <w:lang w:val="af-ZA"/>
              </w:rPr>
              <w:t xml:space="preserve">van </w:t>
            </w:r>
            <w:r w:rsidRPr="002748C7">
              <w:rPr>
                <w:rFonts w:ascii="Arial" w:hAnsi="Arial" w:cs="Arial"/>
                <w:noProof/>
                <w:sz w:val="20"/>
                <w:lang w:val="af-ZA"/>
              </w:rPr>
              <w:t xml:space="preserve">2016 resultate gepubliseer.  Hier is die belangrikste van die verklaring deur die Europese Kommissie </w:t>
            </w:r>
            <w:r w:rsidR="000C7667" w:rsidRPr="002748C7">
              <w:rPr>
                <w:rFonts w:ascii="Arial" w:hAnsi="Arial" w:cs="Arial"/>
                <w:noProof/>
                <w:sz w:val="20"/>
                <w:lang w:val="af-ZA"/>
              </w:rPr>
              <w:t>met</w:t>
            </w:r>
            <w:r w:rsidRPr="002748C7">
              <w:rPr>
                <w:rFonts w:ascii="Arial" w:hAnsi="Arial" w:cs="Arial"/>
                <w:noProof/>
                <w:sz w:val="20"/>
                <w:lang w:val="af-ZA"/>
              </w:rPr>
              <w:t xml:space="preserve"> vrystelling van die verslag (opgesom deur Freshfel)</w:t>
            </w:r>
          </w:p>
          <w:tbl>
            <w:tblPr>
              <w:tblW w:w="10668" w:type="dxa"/>
              <w:tblCellSpacing w:w="0" w:type="dxa"/>
              <w:shd w:val="clear" w:color="auto" w:fill="FFFFFF"/>
              <w:tblCellMar>
                <w:left w:w="0" w:type="dxa"/>
                <w:right w:w="0" w:type="dxa"/>
              </w:tblCellMar>
              <w:tblLook w:val="04A0" w:firstRow="1" w:lastRow="0" w:firstColumn="1" w:lastColumn="0" w:noHBand="0" w:noVBand="1"/>
            </w:tblPr>
            <w:tblGrid>
              <w:gridCol w:w="10668"/>
            </w:tblGrid>
            <w:tr w:rsidR="008F37D3" w:rsidRPr="002748C7" w14:paraId="65C5242E" w14:textId="77777777" w:rsidTr="002748C7">
              <w:trPr>
                <w:trHeight w:val="5201"/>
                <w:tblCellSpacing w:w="0" w:type="dxa"/>
              </w:trPr>
              <w:tc>
                <w:tcPr>
                  <w:tcW w:w="0" w:type="auto"/>
                  <w:shd w:val="clear" w:color="auto" w:fill="FFFFFF"/>
                  <w:tcMar>
                    <w:top w:w="0" w:type="dxa"/>
                    <w:left w:w="0" w:type="dxa"/>
                    <w:bottom w:w="105" w:type="dxa"/>
                    <w:right w:w="0" w:type="dxa"/>
                  </w:tcMar>
                  <w:vAlign w:val="center"/>
                  <w:hideMark/>
                </w:tcPr>
                <w:p w14:paraId="033E8E7C" w14:textId="77777777" w:rsidR="008F37D3" w:rsidRPr="002748C7" w:rsidRDefault="008F37D3" w:rsidP="003B3A19">
                  <w:pPr>
                    <w:numPr>
                      <w:ilvl w:val="0"/>
                      <w:numId w:val="10"/>
                    </w:numPr>
                    <w:spacing w:after="0"/>
                    <w:jc w:val="both"/>
                    <w:rPr>
                      <w:rFonts w:ascii="Arial" w:eastAsia="Times New Roman" w:hAnsi="Arial" w:cs="Arial"/>
                      <w:i/>
                      <w:noProof/>
                      <w:color w:val="555555"/>
                      <w:szCs w:val="23"/>
                      <w:lang w:val="af-ZA" w:eastAsia="en-ZA"/>
                    </w:rPr>
                  </w:pPr>
                  <w:r w:rsidRPr="002748C7">
                    <w:rPr>
                      <w:rFonts w:ascii="Arial" w:eastAsia="Times New Roman" w:hAnsi="Arial" w:cs="Arial"/>
                      <w:i/>
                      <w:iCs/>
                      <w:noProof/>
                      <w:color w:val="333333"/>
                      <w:szCs w:val="23"/>
                      <w:lang w:val="af-ZA" w:eastAsia="en-ZA"/>
                    </w:rPr>
                    <w:t>The Commission´s latest annual report on the operation of the system in 2016, shows that the number of interceptions made due to the presence of harmful organisms was 1,815, a reduction of 15% compared to 2015. This reflects a continuing downward trend since 2014, with an overall reduction of 25% over the period.</w:t>
                  </w:r>
                </w:p>
                <w:p w14:paraId="11ECD589" w14:textId="77777777" w:rsidR="008F37D3" w:rsidRPr="002748C7" w:rsidRDefault="008F37D3" w:rsidP="003B3A19">
                  <w:pPr>
                    <w:numPr>
                      <w:ilvl w:val="0"/>
                      <w:numId w:val="11"/>
                    </w:numPr>
                    <w:spacing w:after="0"/>
                    <w:rPr>
                      <w:rFonts w:ascii="Arial" w:eastAsia="Times New Roman" w:hAnsi="Arial" w:cs="Arial"/>
                      <w:i/>
                      <w:noProof/>
                      <w:color w:val="555555"/>
                      <w:szCs w:val="23"/>
                      <w:lang w:val="af-ZA" w:eastAsia="en-ZA"/>
                    </w:rPr>
                  </w:pPr>
                  <w:r w:rsidRPr="002748C7">
                    <w:rPr>
                      <w:rFonts w:ascii="Arial" w:eastAsia="Times New Roman" w:hAnsi="Arial" w:cs="Arial"/>
                      <w:i/>
                      <w:iCs/>
                      <w:noProof/>
                      <w:color w:val="333333"/>
                      <w:szCs w:val="23"/>
                      <w:lang w:val="af-ZA" w:eastAsia="en-ZA"/>
                    </w:rPr>
                    <w:t>Following a range of Commission actions in relation to countries exporting to the EU (bi-lateral dialogue, plant health audits and other targeted measures), interceptions of consignments of some non-EU country commodities (such as Capsicum, Citrus, Solanum and Luffa spp.) showed a marked decrease in 2016.</w:t>
                  </w:r>
                </w:p>
                <w:p w14:paraId="45C89BDF" w14:textId="77777777" w:rsidR="008F37D3" w:rsidRPr="002748C7" w:rsidRDefault="008F37D3" w:rsidP="003B3A19">
                  <w:pPr>
                    <w:numPr>
                      <w:ilvl w:val="0"/>
                      <w:numId w:val="12"/>
                    </w:numPr>
                    <w:spacing w:after="0"/>
                    <w:rPr>
                      <w:rFonts w:ascii="Arial" w:eastAsia="Times New Roman" w:hAnsi="Arial" w:cs="Arial"/>
                      <w:i/>
                      <w:noProof/>
                      <w:color w:val="555555"/>
                      <w:szCs w:val="23"/>
                      <w:lang w:val="af-ZA" w:eastAsia="en-ZA"/>
                    </w:rPr>
                  </w:pPr>
                  <w:r w:rsidRPr="002748C7">
                    <w:rPr>
                      <w:rFonts w:ascii="Arial" w:eastAsia="Times New Roman" w:hAnsi="Arial" w:cs="Arial"/>
                      <w:i/>
                      <w:iCs/>
                      <w:noProof/>
                      <w:color w:val="333333"/>
                      <w:szCs w:val="23"/>
                      <w:lang w:val="af-ZA" w:eastAsia="en-ZA"/>
                    </w:rPr>
                    <w:t>Thirteen non-EU countries were responsible for the majority of interceptions of during 2016, each having more than 50 interceptions. The main non-EU country commodities intercepted due to the presence of harmful organisms were fruit and vegetables (particularly peppers, mango, basil, citrus and various gourds), Wood Packaging Material (WPM), cut flowers and planting material.</w:t>
                  </w:r>
                </w:p>
                <w:p w14:paraId="3C10A635" w14:textId="4678468B" w:rsidR="001163A2" w:rsidRPr="002748C7" w:rsidRDefault="008F37D3" w:rsidP="001163A2">
                  <w:pPr>
                    <w:numPr>
                      <w:ilvl w:val="0"/>
                      <w:numId w:val="13"/>
                    </w:numPr>
                    <w:spacing w:after="0"/>
                    <w:jc w:val="both"/>
                    <w:rPr>
                      <w:rFonts w:ascii="Arial" w:eastAsia="Times New Roman" w:hAnsi="Arial" w:cs="Arial"/>
                      <w:i/>
                      <w:noProof/>
                      <w:color w:val="555555"/>
                      <w:szCs w:val="23"/>
                      <w:lang w:val="af-ZA" w:eastAsia="en-ZA"/>
                    </w:rPr>
                  </w:pPr>
                  <w:r w:rsidRPr="002748C7">
                    <w:rPr>
                      <w:rFonts w:ascii="Arial" w:eastAsia="Times New Roman" w:hAnsi="Arial" w:cs="Arial"/>
                      <w:i/>
                      <w:iCs/>
                      <w:noProof/>
                      <w:color w:val="333333"/>
                      <w:szCs w:val="23"/>
                      <w:lang w:val="af-ZA" w:eastAsia="en-ZA"/>
                    </w:rPr>
                    <w:t>In addition to its function as a rapid alert system, EUROPHYT-Interceptions is an effective policy support tool for risk assessment and risk management. Based on EUROPHYT data, a Non-EU trade Alert List is published each month on the Commission´s Health and Food Safety website. This list is intended to draw the attention of the relevant plant health authorities and other stakeholders to certain trades, for which the EU Member States have identified frequent phytosanitary risks, as a first step in having these risks addressed at source.</w:t>
                  </w:r>
                </w:p>
              </w:tc>
            </w:tr>
          </w:tbl>
          <w:p w14:paraId="48F45A5E" w14:textId="77777777" w:rsidR="00943C7C" w:rsidRPr="002748C7" w:rsidRDefault="00943C7C" w:rsidP="002748C7">
            <w:pPr>
              <w:spacing w:after="0" w:line="240" w:lineRule="auto"/>
              <w:rPr>
                <w:rFonts w:ascii="Arial" w:hAnsi="Arial" w:cs="Arial"/>
                <w:b/>
                <w:noProof/>
                <w:color w:val="FF0000"/>
                <w:sz w:val="20"/>
                <w:u w:val="single"/>
                <w:lang w:val="af-ZA"/>
              </w:rPr>
            </w:pPr>
            <w:r w:rsidRPr="002748C7">
              <w:rPr>
                <w:rFonts w:ascii="Arial" w:hAnsi="Arial" w:cs="Arial"/>
                <w:b/>
                <w:noProof/>
                <w:color w:val="FF0000"/>
                <w:sz w:val="20"/>
                <w:u w:val="single"/>
                <w:lang w:val="af-ZA"/>
              </w:rPr>
              <w:t>GEPAK EN VERSKEEP</w:t>
            </w:r>
          </w:p>
          <w:p w14:paraId="613B989F" w14:textId="0515A3ED" w:rsidR="00943C7C" w:rsidRDefault="00943C7C" w:rsidP="002748C7">
            <w:pPr>
              <w:spacing w:line="240" w:lineRule="auto"/>
              <w:jc w:val="both"/>
              <w:rPr>
                <w:rFonts w:ascii="Arial" w:hAnsi="Arial" w:cs="Arial"/>
                <w:noProof/>
                <w:sz w:val="20"/>
                <w:lang w:val="af-ZA"/>
              </w:rPr>
            </w:pPr>
            <w:r w:rsidRPr="002748C7">
              <w:rPr>
                <w:rFonts w:ascii="Arial" w:hAnsi="Arial" w:cs="Arial"/>
                <w:noProof/>
                <w:sz w:val="20"/>
                <w:lang w:val="af-ZA"/>
              </w:rPr>
              <w:t>Met byna al die pomelo’</w:t>
            </w:r>
            <w:r w:rsidR="000C7667" w:rsidRPr="002748C7">
              <w:rPr>
                <w:rFonts w:ascii="Arial" w:hAnsi="Arial" w:cs="Arial"/>
                <w:noProof/>
                <w:sz w:val="20"/>
                <w:lang w:val="af-ZA"/>
              </w:rPr>
              <w:t>s gepak en 80% reeds verskeep, is</w:t>
            </w:r>
            <w:r w:rsidRPr="002748C7">
              <w:rPr>
                <w:rFonts w:ascii="Arial" w:hAnsi="Arial" w:cs="Arial"/>
                <w:noProof/>
                <w:sz w:val="20"/>
                <w:lang w:val="af-ZA"/>
              </w:rPr>
              <w:t xml:space="preserve"> dit interessant </w:t>
            </w:r>
            <w:r w:rsidR="000C7667" w:rsidRPr="002748C7">
              <w:rPr>
                <w:rFonts w:ascii="Arial" w:hAnsi="Arial" w:cs="Arial"/>
                <w:noProof/>
                <w:sz w:val="20"/>
                <w:lang w:val="af-ZA"/>
              </w:rPr>
              <w:t xml:space="preserve">om </w:t>
            </w:r>
            <w:r w:rsidRPr="002748C7">
              <w:rPr>
                <w:rFonts w:ascii="Arial" w:hAnsi="Arial" w:cs="Arial"/>
                <w:noProof/>
                <w:sz w:val="20"/>
                <w:lang w:val="af-ZA"/>
              </w:rPr>
              <w:t xml:space="preserve">na die posisie tien jaar gelede </w:t>
            </w:r>
            <w:r w:rsidR="00360880" w:rsidRPr="002748C7">
              <w:rPr>
                <w:rFonts w:ascii="Arial" w:hAnsi="Arial" w:cs="Arial"/>
                <w:noProof/>
                <w:sz w:val="20"/>
                <w:lang w:val="af-ZA"/>
              </w:rPr>
              <w:t xml:space="preserve">te </w:t>
            </w:r>
            <w:r w:rsidRPr="002748C7">
              <w:rPr>
                <w:rFonts w:ascii="Arial" w:hAnsi="Arial" w:cs="Arial"/>
                <w:noProof/>
                <w:sz w:val="20"/>
                <w:lang w:val="af-ZA"/>
              </w:rPr>
              <w:t xml:space="preserve">kyk. In 2006 het Suider-Afrika 69% van </w:t>
            </w:r>
            <w:r w:rsidR="000C7667" w:rsidRPr="002748C7">
              <w:rPr>
                <w:rFonts w:ascii="Arial" w:hAnsi="Arial" w:cs="Arial"/>
                <w:noProof/>
                <w:sz w:val="20"/>
                <w:lang w:val="af-ZA"/>
              </w:rPr>
              <w:t xml:space="preserve">die </w:t>
            </w:r>
            <w:r w:rsidRPr="002748C7">
              <w:rPr>
                <w:rFonts w:ascii="Arial" w:hAnsi="Arial" w:cs="Arial"/>
                <w:noProof/>
                <w:sz w:val="20"/>
                <w:lang w:val="af-ZA"/>
              </w:rPr>
              <w:t>gepigmenteer</w:t>
            </w:r>
            <w:r w:rsidR="000C7667" w:rsidRPr="002748C7">
              <w:rPr>
                <w:rFonts w:ascii="Arial" w:hAnsi="Arial" w:cs="Arial"/>
                <w:noProof/>
                <w:sz w:val="20"/>
                <w:lang w:val="af-ZA"/>
              </w:rPr>
              <w:t>de</w:t>
            </w:r>
            <w:r w:rsidRPr="002748C7">
              <w:rPr>
                <w:rFonts w:ascii="Arial" w:hAnsi="Arial" w:cs="Arial"/>
                <w:noProof/>
                <w:sz w:val="20"/>
                <w:lang w:val="af-ZA"/>
              </w:rPr>
              <w:t xml:space="preserve"> pomelo’s gepak. In reaksie op verbruikersaanvraag</w:t>
            </w:r>
            <w:r w:rsidR="000C7667" w:rsidRPr="002748C7">
              <w:rPr>
                <w:rFonts w:ascii="Arial" w:hAnsi="Arial" w:cs="Arial"/>
                <w:noProof/>
                <w:sz w:val="20"/>
                <w:lang w:val="af-ZA"/>
              </w:rPr>
              <w:t>,</w:t>
            </w:r>
            <w:r w:rsidRPr="002748C7">
              <w:rPr>
                <w:rFonts w:ascii="Arial" w:hAnsi="Arial" w:cs="Arial"/>
                <w:noProof/>
                <w:sz w:val="20"/>
                <w:lang w:val="af-ZA"/>
              </w:rPr>
              <w:t xml:space="preserve"> het produsente wit pomelo boorde met gepigmenteerde pomelo’s vervang - die verhouding is nou 90% gepigmenteerd tot 10% wit. Pomelo uitvoere het van 9,5 miljoen </w:t>
            </w:r>
            <w:r w:rsidR="000C7667" w:rsidRPr="002748C7">
              <w:rPr>
                <w:rFonts w:ascii="Arial" w:hAnsi="Arial" w:cs="Arial"/>
                <w:noProof/>
                <w:sz w:val="20"/>
                <w:lang w:val="af-ZA"/>
              </w:rPr>
              <w:t>kartonne</w:t>
            </w:r>
            <w:r w:rsidRPr="002748C7">
              <w:rPr>
                <w:rFonts w:ascii="Arial" w:hAnsi="Arial" w:cs="Arial"/>
                <w:noProof/>
                <w:sz w:val="20"/>
                <w:lang w:val="af-ZA"/>
              </w:rPr>
              <w:t xml:space="preserve"> tot 14.8 miljoen kartonne (15 kg) gestyg - 'n beskeie toename (56%) in vergelyking met ander sektore van die sitrusbedryf. Asië was die dominante mark in 2006 - </w:t>
            </w:r>
            <w:r w:rsidR="000C7667" w:rsidRPr="002748C7">
              <w:rPr>
                <w:rFonts w:ascii="Arial" w:hAnsi="Arial" w:cs="Arial"/>
                <w:noProof/>
                <w:sz w:val="20"/>
                <w:lang w:val="af-ZA"/>
              </w:rPr>
              <w:t>op</w:t>
            </w:r>
            <w:r w:rsidRPr="002748C7">
              <w:rPr>
                <w:rFonts w:ascii="Arial" w:hAnsi="Arial" w:cs="Arial"/>
                <w:noProof/>
                <w:sz w:val="20"/>
                <w:lang w:val="af-ZA"/>
              </w:rPr>
              <w:t xml:space="preserve"> 40%; Japan was verantwoordelik vir die meeste. Tien jaar later is Asië nou tweede </w:t>
            </w:r>
            <w:r w:rsidR="000C7667" w:rsidRPr="002748C7">
              <w:rPr>
                <w:rFonts w:ascii="Arial" w:hAnsi="Arial" w:cs="Arial"/>
                <w:noProof/>
                <w:sz w:val="20"/>
                <w:lang w:val="af-ZA"/>
              </w:rPr>
              <w:t xml:space="preserve">met </w:t>
            </w:r>
            <w:r w:rsidRPr="002748C7">
              <w:rPr>
                <w:rFonts w:ascii="Arial" w:hAnsi="Arial" w:cs="Arial"/>
                <w:noProof/>
                <w:sz w:val="20"/>
                <w:lang w:val="af-ZA"/>
              </w:rPr>
              <w:t xml:space="preserve">34%, met Suid-Korea wat by Japan aangesluit het as die belangrikste markte in die gebied. Die Europese Unie (uitgesluit </w:t>
            </w:r>
            <w:r w:rsidR="000C7667" w:rsidRPr="002748C7">
              <w:rPr>
                <w:rFonts w:ascii="Arial" w:hAnsi="Arial" w:cs="Arial"/>
                <w:noProof/>
                <w:sz w:val="20"/>
                <w:lang w:val="af-ZA"/>
              </w:rPr>
              <w:t>VK</w:t>
            </w:r>
            <w:r w:rsidRPr="002748C7">
              <w:rPr>
                <w:rFonts w:ascii="Arial" w:hAnsi="Arial" w:cs="Arial"/>
                <w:noProof/>
                <w:sz w:val="20"/>
                <w:lang w:val="af-ZA"/>
              </w:rPr>
              <w:t>) ontvang nou 45% van die produk - op van 38% in 2006. Die VK het van hul aptyt vir pomelo’s verloor – daal van 12% tot 6%. Met Asië en die EU wat die grootste deel van pomelo-uitvoere (83%) ontvang</w:t>
            </w:r>
            <w:r w:rsidR="000C7667" w:rsidRPr="002748C7">
              <w:rPr>
                <w:rFonts w:ascii="Arial" w:hAnsi="Arial" w:cs="Arial"/>
                <w:noProof/>
                <w:sz w:val="20"/>
                <w:lang w:val="af-ZA"/>
              </w:rPr>
              <w:t>,</w:t>
            </w:r>
            <w:r w:rsidRPr="002748C7">
              <w:rPr>
                <w:rFonts w:ascii="Arial" w:hAnsi="Arial" w:cs="Arial"/>
                <w:noProof/>
                <w:sz w:val="20"/>
                <w:lang w:val="af-ZA"/>
              </w:rPr>
              <w:t xml:space="preserve"> is die ander streke klein rolspelers - Rusland het van 4</w:t>
            </w:r>
            <w:r w:rsidR="000C7667" w:rsidRPr="002748C7">
              <w:rPr>
                <w:rFonts w:ascii="Arial" w:hAnsi="Arial" w:cs="Arial"/>
                <w:noProof/>
                <w:sz w:val="20"/>
                <w:lang w:val="af-ZA"/>
              </w:rPr>
              <w:t xml:space="preserve"> tot </w:t>
            </w:r>
            <w:r w:rsidRPr="002748C7">
              <w:rPr>
                <w:rFonts w:ascii="Arial" w:hAnsi="Arial" w:cs="Arial"/>
                <w:noProof/>
                <w:sz w:val="20"/>
                <w:lang w:val="af-ZA"/>
              </w:rPr>
              <w:t xml:space="preserve">8% toegeneem, Noord-Amerika van 3 tot 5% </w:t>
            </w:r>
            <w:r w:rsidR="000C7667" w:rsidRPr="002748C7">
              <w:rPr>
                <w:rFonts w:ascii="Arial" w:hAnsi="Arial" w:cs="Arial"/>
                <w:noProof/>
                <w:sz w:val="20"/>
                <w:lang w:val="af-ZA"/>
              </w:rPr>
              <w:t xml:space="preserve">en </w:t>
            </w:r>
            <w:r w:rsidRPr="002748C7">
              <w:rPr>
                <w:rFonts w:ascii="Arial" w:hAnsi="Arial" w:cs="Arial"/>
                <w:noProof/>
                <w:sz w:val="20"/>
                <w:lang w:val="af-ZA"/>
              </w:rPr>
              <w:t>Midde-Ooste van 1 tot 3%. Afrika bly op 1%.</w:t>
            </w:r>
          </w:p>
          <w:p w14:paraId="3446396C" w14:textId="77777777" w:rsidR="002748C7" w:rsidRDefault="002748C7" w:rsidP="002748C7">
            <w:pPr>
              <w:spacing w:line="240" w:lineRule="auto"/>
              <w:jc w:val="both"/>
              <w:rPr>
                <w:rFonts w:ascii="Arial" w:hAnsi="Arial" w:cs="Arial"/>
                <w:noProof/>
                <w:sz w:val="20"/>
                <w:lang w:val="af-ZA"/>
              </w:rPr>
            </w:pPr>
          </w:p>
          <w:tbl>
            <w:tblPr>
              <w:tblpPr w:leftFromText="180" w:rightFromText="180" w:vertAnchor="text" w:horzAnchor="margin" w:tblpY="162"/>
              <w:tblOverlap w:val="never"/>
              <w:tblW w:w="10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6"/>
              <w:gridCol w:w="985"/>
              <w:gridCol w:w="896"/>
              <w:gridCol w:w="978"/>
              <w:gridCol w:w="1061"/>
              <w:gridCol w:w="1106"/>
              <w:gridCol w:w="1344"/>
              <w:gridCol w:w="1358"/>
              <w:gridCol w:w="959"/>
            </w:tblGrid>
            <w:tr w:rsidR="009217A9" w:rsidRPr="00943C7C" w14:paraId="4346F3DD" w14:textId="77777777" w:rsidTr="002748C7">
              <w:trPr>
                <w:trHeight w:val="398"/>
              </w:trPr>
              <w:tc>
                <w:tcPr>
                  <w:tcW w:w="1966" w:type="dxa"/>
                  <w:tcBorders>
                    <w:top w:val="single" w:sz="4" w:space="0" w:color="auto"/>
                    <w:left w:val="single" w:sz="4" w:space="0" w:color="auto"/>
                  </w:tcBorders>
                </w:tcPr>
                <w:p w14:paraId="07CF231C" w14:textId="4ED43B93" w:rsidR="00284F63" w:rsidRPr="00943C7C" w:rsidRDefault="00284F63" w:rsidP="00284F63">
                  <w:pPr>
                    <w:spacing w:after="0" w:line="240" w:lineRule="auto"/>
                    <w:ind w:left="337" w:hanging="337"/>
                    <w:rPr>
                      <w:rFonts w:ascii="Arial" w:hAnsi="Arial" w:cs="Arial"/>
                      <w:noProof/>
                      <w:sz w:val="20"/>
                      <w:szCs w:val="20"/>
                      <w:lang w:val="af-ZA"/>
                    </w:rPr>
                  </w:pPr>
                  <w:bookmarkStart w:id="1" w:name="OLE_LINK1"/>
                  <w:bookmarkStart w:id="2" w:name="OLE_LINK2"/>
                  <w:r w:rsidRPr="00943C7C">
                    <w:rPr>
                      <w:rFonts w:ascii="Arial" w:hAnsi="Arial" w:cs="Arial"/>
                      <w:noProof/>
                      <w:sz w:val="20"/>
                      <w:szCs w:val="20"/>
                      <w:lang w:val="af-ZA"/>
                    </w:rPr>
                    <w:t>To</w:t>
                  </w:r>
                  <w:r w:rsidR="009217A9">
                    <w:rPr>
                      <w:rFonts w:ascii="Arial" w:hAnsi="Arial" w:cs="Arial"/>
                      <w:noProof/>
                      <w:sz w:val="20"/>
                      <w:szCs w:val="20"/>
                      <w:lang w:val="af-ZA"/>
                    </w:rPr>
                    <w:t>t</w:t>
                  </w:r>
                  <w:r w:rsidRPr="00943C7C">
                    <w:rPr>
                      <w:rFonts w:ascii="Arial" w:hAnsi="Arial" w:cs="Arial"/>
                      <w:noProof/>
                      <w:sz w:val="20"/>
                      <w:szCs w:val="20"/>
                      <w:lang w:val="af-ZA"/>
                    </w:rPr>
                    <w:t xml:space="preserve"> E</w:t>
                  </w:r>
                  <w:r w:rsidR="009217A9">
                    <w:rPr>
                      <w:rFonts w:ascii="Arial" w:hAnsi="Arial" w:cs="Arial"/>
                      <w:noProof/>
                      <w:sz w:val="20"/>
                      <w:szCs w:val="20"/>
                      <w:lang w:val="af-ZA"/>
                    </w:rPr>
                    <w:t>i</w:t>
                  </w:r>
                  <w:r w:rsidRPr="00943C7C">
                    <w:rPr>
                      <w:rFonts w:ascii="Arial" w:hAnsi="Arial" w:cs="Arial"/>
                      <w:noProof/>
                      <w:sz w:val="20"/>
                      <w:szCs w:val="20"/>
                      <w:lang w:val="af-ZA"/>
                    </w:rPr>
                    <w:t>nd</w:t>
                  </w:r>
                  <w:r w:rsidR="009217A9">
                    <w:rPr>
                      <w:rFonts w:ascii="Arial" w:hAnsi="Arial" w:cs="Arial"/>
                      <w:noProof/>
                      <w:sz w:val="20"/>
                      <w:szCs w:val="20"/>
                      <w:lang w:val="af-ZA"/>
                    </w:rPr>
                    <w:t>e</w:t>
                  </w:r>
                  <w:r w:rsidRPr="00943C7C">
                    <w:rPr>
                      <w:rFonts w:ascii="Arial" w:hAnsi="Arial" w:cs="Arial"/>
                      <w:noProof/>
                      <w:sz w:val="20"/>
                      <w:szCs w:val="20"/>
                      <w:lang w:val="af-ZA"/>
                    </w:rPr>
                    <w:t xml:space="preserve"> Week </w:t>
                  </w:r>
                  <w:r w:rsidR="008839F8" w:rsidRPr="00943C7C">
                    <w:rPr>
                      <w:rFonts w:ascii="Arial" w:hAnsi="Arial" w:cs="Arial"/>
                      <w:noProof/>
                      <w:sz w:val="20"/>
                      <w:szCs w:val="20"/>
                      <w:lang w:val="af-ZA"/>
                    </w:rPr>
                    <w:t>28</w:t>
                  </w:r>
                </w:p>
                <w:p w14:paraId="30828BCA" w14:textId="1ED0494F" w:rsidR="00284F63" w:rsidRPr="00943C7C" w:rsidRDefault="00284F63" w:rsidP="009217A9">
                  <w:pPr>
                    <w:spacing w:after="0" w:line="240" w:lineRule="auto"/>
                    <w:rPr>
                      <w:rFonts w:ascii="Arial" w:hAnsi="Arial" w:cs="Arial"/>
                      <w:noProof/>
                      <w:sz w:val="20"/>
                      <w:szCs w:val="20"/>
                      <w:lang w:val="af-ZA"/>
                    </w:rPr>
                  </w:pPr>
                  <w:r w:rsidRPr="00943C7C">
                    <w:rPr>
                      <w:rFonts w:ascii="Arial" w:hAnsi="Arial" w:cs="Arial"/>
                      <w:noProof/>
                      <w:sz w:val="20"/>
                      <w:szCs w:val="20"/>
                      <w:lang w:val="af-ZA"/>
                    </w:rPr>
                    <w:t>Mi</w:t>
                  </w:r>
                  <w:r w:rsidR="009217A9">
                    <w:rPr>
                      <w:rFonts w:ascii="Arial" w:hAnsi="Arial" w:cs="Arial"/>
                      <w:noProof/>
                      <w:sz w:val="20"/>
                      <w:szCs w:val="20"/>
                      <w:lang w:val="af-ZA"/>
                    </w:rPr>
                    <w:t>ljoen 15 Kg Kartonne</w:t>
                  </w:r>
                </w:p>
              </w:tc>
              <w:tc>
                <w:tcPr>
                  <w:tcW w:w="985" w:type="dxa"/>
                  <w:tcBorders>
                    <w:top w:val="single" w:sz="4" w:space="0" w:color="auto"/>
                  </w:tcBorders>
                  <w:shd w:val="clear" w:color="auto" w:fill="CCCCCC"/>
                </w:tcPr>
                <w:p w14:paraId="1B399B14" w14:textId="62689A80" w:rsidR="00284F63" w:rsidRPr="00943C7C" w:rsidRDefault="009217A9"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r w:rsidR="00284F63" w:rsidRPr="00943C7C">
                    <w:rPr>
                      <w:rFonts w:ascii="Arial" w:hAnsi="Arial" w:cs="Arial"/>
                      <w:noProof/>
                      <w:sz w:val="20"/>
                      <w:szCs w:val="20"/>
                      <w:lang w:val="af-ZA"/>
                    </w:rPr>
                    <w:t xml:space="preserve"> </w:t>
                  </w:r>
                </w:p>
              </w:tc>
              <w:tc>
                <w:tcPr>
                  <w:tcW w:w="896" w:type="dxa"/>
                  <w:tcBorders>
                    <w:top w:val="single" w:sz="4" w:space="0" w:color="auto"/>
                    <w:right w:val="double" w:sz="4" w:space="0" w:color="auto"/>
                  </w:tcBorders>
                  <w:shd w:val="clear" w:color="auto" w:fill="CCCCCC"/>
                </w:tcPr>
                <w:p w14:paraId="0BFF07D0" w14:textId="7A0468EB" w:rsidR="00284F63" w:rsidRPr="00943C7C" w:rsidRDefault="009217A9"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51DB7D38" w14:textId="37A95617" w:rsidR="00284F63" w:rsidRPr="00943C7C" w:rsidRDefault="009217A9" w:rsidP="00284F63">
                  <w:pPr>
                    <w:spacing w:after="0" w:line="240" w:lineRule="auto"/>
                    <w:jc w:val="right"/>
                    <w:rPr>
                      <w:rFonts w:ascii="Arial" w:hAnsi="Arial" w:cs="Arial"/>
                      <w:b/>
                      <w:noProof/>
                      <w:sz w:val="20"/>
                      <w:szCs w:val="20"/>
                      <w:lang w:val="af-ZA"/>
                    </w:rPr>
                  </w:pPr>
                  <w:r>
                    <w:rPr>
                      <w:rFonts w:ascii="Arial" w:hAnsi="Arial" w:cs="Arial"/>
                      <w:b/>
                      <w:noProof/>
                      <w:sz w:val="20"/>
                      <w:szCs w:val="20"/>
                      <w:lang w:val="af-ZA"/>
                    </w:rPr>
                    <w:t>Gepak</w:t>
                  </w:r>
                </w:p>
              </w:tc>
              <w:tc>
                <w:tcPr>
                  <w:tcW w:w="1056" w:type="dxa"/>
                  <w:tcBorders>
                    <w:top w:val="single" w:sz="4" w:space="0" w:color="auto"/>
                    <w:left w:val="double" w:sz="4" w:space="0" w:color="auto"/>
                    <w:right w:val="double" w:sz="4" w:space="0" w:color="auto"/>
                  </w:tcBorders>
                  <w:shd w:val="clear" w:color="auto" w:fill="E6E6E6"/>
                </w:tcPr>
                <w:p w14:paraId="6C5FB232" w14:textId="3EA04617" w:rsidR="00284F63" w:rsidRPr="00943C7C" w:rsidRDefault="009217A9"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Verskeep</w:t>
                  </w:r>
                </w:p>
              </w:tc>
              <w:tc>
                <w:tcPr>
                  <w:tcW w:w="1101" w:type="dxa"/>
                  <w:tcBorders>
                    <w:top w:val="single" w:sz="4" w:space="0" w:color="auto"/>
                    <w:left w:val="double" w:sz="4" w:space="0" w:color="auto"/>
                    <w:right w:val="double" w:sz="4" w:space="0" w:color="auto"/>
                  </w:tcBorders>
                  <w:shd w:val="clear" w:color="auto" w:fill="E6E6E6"/>
                </w:tcPr>
                <w:p w14:paraId="2E4414BD" w14:textId="3C3A109B" w:rsidR="00284F63" w:rsidRPr="00943C7C" w:rsidRDefault="009217A9" w:rsidP="00284F63">
                  <w:pPr>
                    <w:spacing w:after="0" w:line="240" w:lineRule="auto"/>
                    <w:jc w:val="right"/>
                    <w:rPr>
                      <w:rFonts w:ascii="Arial" w:hAnsi="Arial" w:cs="Arial"/>
                      <w:b/>
                      <w:noProof/>
                      <w:sz w:val="20"/>
                      <w:szCs w:val="20"/>
                      <w:lang w:val="af-ZA"/>
                    </w:rPr>
                  </w:pPr>
                  <w:r>
                    <w:rPr>
                      <w:rFonts w:ascii="Arial" w:hAnsi="Arial" w:cs="Arial"/>
                      <w:b/>
                      <w:noProof/>
                      <w:sz w:val="20"/>
                      <w:szCs w:val="20"/>
                      <w:lang w:val="af-ZA"/>
                    </w:rPr>
                    <w:t>Verskeep</w:t>
                  </w:r>
                </w:p>
              </w:tc>
              <w:tc>
                <w:tcPr>
                  <w:tcW w:w="1344" w:type="dxa"/>
                  <w:tcBorders>
                    <w:top w:val="single" w:sz="4" w:space="0" w:color="auto"/>
                    <w:left w:val="double" w:sz="4" w:space="0" w:color="auto"/>
                  </w:tcBorders>
                  <w:shd w:val="clear" w:color="auto" w:fill="E6E6E6"/>
                </w:tcPr>
                <w:p w14:paraId="04DC51C8" w14:textId="4D7323DB" w:rsidR="00284F63" w:rsidRPr="00943C7C" w:rsidRDefault="009217A9" w:rsidP="009217A9">
                  <w:pPr>
                    <w:spacing w:after="0" w:line="240" w:lineRule="auto"/>
                    <w:jc w:val="center"/>
                    <w:rPr>
                      <w:rFonts w:ascii="Arial" w:hAnsi="Arial" w:cs="Arial"/>
                      <w:noProof/>
                      <w:sz w:val="20"/>
                      <w:szCs w:val="20"/>
                      <w:lang w:val="af-ZA"/>
                    </w:rPr>
                  </w:pPr>
                  <w:r>
                    <w:rPr>
                      <w:rFonts w:ascii="Arial" w:hAnsi="Arial" w:cs="Arial"/>
                      <w:noProof/>
                      <w:sz w:val="20"/>
                      <w:szCs w:val="20"/>
                      <w:lang w:val="af-ZA"/>
                    </w:rPr>
                    <w:t>Aanvanklike Skatting</w:t>
                  </w:r>
                </w:p>
              </w:tc>
              <w:tc>
                <w:tcPr>
                  <w:tcW w:w="1358" w:type="dxa"/>
                  <w:tcBorders>
                    <w:top w:val="single" w:sz="4" w:space="0" w:color="auto"/>
                  </w:tcBorders>
                  <w:shd w:val="clear" w:color="auto" w:fill="E6E6E6"/>
                </w:tcPr>
                <w:p w14:paraId="38B1CA34" w14:textId="4B1A6434" w:rsidR="00284F63" w:rsidRPr="00943C7C" w:rsidRDefault="009217A9" w:rsidP="009217A9">
                  <w:pPr>
                    <w:spacing w:after="0" w:line="240" w:lineRule="auto"/>
                    <w:jc w:val="center"/>
                    <w:rPr>
                      <w:rFonts w:ascii="Arial" w:hAnsi="Arial" w:cs="Arial"/>
                      <w:noProof/>
                      <w:sz w:val="20"/>
                      <w:szCs w:val="20"/>
                      <w:lang w:val="af-ZA"/>
                    </w:rPr>
                  </w:pPr>
                  <w:r>
                    <w:rPr>
                      <w:rFonts w:ascii="Arial" w:hAnsi="Arial" w:cs="Arial"/>
                      <w:noProof/>
                      <w:sz w:val="20"/>
                      <w:szCs w:val="20"/>
                      <w:lang w:val="af-ZA"/>
                    </w:rPr>
                    <w:t>Nuutste Voorspelling</w:t>
                  </w:r>
                </w:p>
              </w:tc>
              <w:tc>
                <w:tcPr>
                  <w:tcW w:w="0" w:type="auto"/>
                  <w:tcBorders>
                    <w:top w:val="single" w:sz="4" w:space="0" w:color="auto"/>
                    <w:right w:val="single" w:sz="4" w:space="0" w:color="auto"/>
                  </w:tcBorders>
                  <w:shd w:val="clear" w:color="auto" w:fill="E6E6E6"/>
                </w:tcPr>
                <w:p w14:paraId="17A6FAF8" w14:textId="606557CF" w:rsidR="00284F63" w:rsidRPr="00943C7C" w:rsidRDefault="00284F63" w:rsidP="00284F63">
                  <w:pPr>
                    <w:spacing w:after="0" w:line="240" w:lineRule="auto"/>
                    <w:jc w:val="center"/>
                    <w:rPr>
                      <w:rFonts w:ascii="Arial" w:hAnsi="Arial" w:cs="Arial"/>
                      <w:noProof/>
                      <w:sz w:val="20"/>
                      <w:szCs w:val="20"/>
                      <w:lang w:val="af-ZA"/>
                    </w:rPr>
                  </w:pPr>
                  <w:r w:rsidRPr="00943C7C">
                    <w:rPr>
                      <w:rFonts w:ascii="Arial" w:hAnsi="Arial" w:cs="Arial"/>
                      <w:noProof/>
                      <w:sz w:val="20"/>
                      <w:szCs w:val="20"/>
                      <w:lang w:val="af-ZA"/>
                    </w:rPr>
                    <w:t>Fin</w:t>
                  </w:r>
                  <w:r w:rsidR="009217A9">
                    <w:rPr>
                      <w:rFonts w:ascii="Arial" w:hAnsi="Arial" w:cs="Arial"/>
                      <w:noProof/>
                      <w:sz w:val="20"/>
                      <w:szCs w:val="20"/>
                      <w:lang w:val="af-ZA"/>
                    </w:rPr>
                    <w:t>a</w:t>
                  </w:r>
                  <w:r w:rsidRPr="00943C7C">
                    <w:rPr>
                      <w:rFonts w:ascii="Arial" w:hAnsi="Arial" w:cs="Arial"/>
                      <w:noProof/>
                      <w:sz w:val="20"/>
                      <w:szCs w:val="20"/>
                      <w:lang w:val="af-ZA"/>
                    </w:rPr>
                    <w:t xml:space="preserve">al </w:t>
                  </w:r>
                  <w:r w:rsidR="009217A9">
                    <w:rPr>
                      <w:rFonts w:ascii="Arial" w:hAnsi="Arial" w:cs="Arial"/>
                      <w:noProof/>
                      <w:sz w:val="20"/>
                      <w:szCs w:val="20"/>
                      <w:lang w:val="af-ZA"/>
                    </w:rPr>
                    <w:t>Gepak</w:t>
                  </w:r>
                </w:p>
                <w:p w14:paraId="7BF6B9E8" w14:textId="77777777" w:rsidR="00284F63" w:rsidRPr="00943C7C" w:rsidRDefault="00284F63" w:rsidP="00284F63">
                  <w:pPr>
                    <w:spacing w:after="0" w:line="240" w:lineRule="auto"/>
                    <w:jc w:val="center"/>
                    <w:rPr>
                      <w:rFonts w:ascii="Arial" w:hAnsi="Arial" w:cs="Arial"/>
                      <w:noProof/>
                      <w:sz w:val="20"/>
                      <w:szCs w:val="20"/>
                      <w:lang w:val="af-ZA"/>
                    </w:rPr>
                  </w:pPr>
                </w:p>
              </w:tc>
            </w:tr>
            <w:tr w:rsidR="009217A9" w:rsidRPr="00943C7C" w14:paraId="1D253F3D" w14:textId="77777777" w:rsidTr="002748C7">
              <w:trPr>
                <w:trHeight w:val="198"/>
              </w:trPr>
              <w:tc>
                <w:tcPr>
                  <w:tcW w:w="1966" w:type="dxa"/>
                  <w:tcBorders>
                    <w:left w:val="single" w:sz="4" w:space="0" w:color="auto"/>
                  </w:tcBorders>
                </w:tcPr>
                <w:p w14:paraId="1406456C" w14:textId="0A0F932C" w:rsidR="00284F63" w:rsidRPr="00943C7C" w:rsidRDefault="009217A9" w:rsidP="00284F63">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D32304" w:rsidRPr="00943C7C">
                    <w:rPr>
                      <w:rFonts w:ascii="Arial" w:hAnsi="Arial" w:cs="Arial"/>
                      <w:b/>
                      <w:noProof/>
                      <w:sz w:val="12"/>
                      <w:szCs w:val="12"/>
                      <w:lang w:val="af-ZA"/>
                    </w:rPr>
                    <w:t>: PPECB/AGRIHUB</w:t>
                  </w:r>
                </w:p>
              </w:tc>
              <w:tc>
                <w:tcPr>
                  <w:tcW w:w="985" w:type="dxa"/>
                  <w:shd w:val="clear" w:color="auto" w:fill="CCCCCC"/>
                </w:tcPr>
                <w:p w14:paraId="4FA1F56F" w14:textId="77777777" w:rsidR="00284F63" w:rsidRPr="00943C7C" w:rsidRDefault="00284F63" w:rsidP="00284F63">
                  <w:pPr>
                    <w:spacing w:after="0" w:line="240" w:lineRule="auto"/>
                    <w:jc w:val="center"/>
                    <w:rPr>
                      <w:rFonts w:ascii="Arial" w:hAnsi="Arial" w:cs="Arial"/>
                      <w:noProof/>
                      <w:sz w:val="20"/>
                      <w:szCs w:val="20"/>
                      <w:lang w:val="af-ZA"/>
                    </w:rPr>
                  </w:pPr>
                  <w:r w:rsidRPr="00943C7C">
                    <w:rPr>
                      <w:rFonts w:ascii="Arial" w:hAnsi="Arial" w:cs="Arial"/>
                      <w:noProof/>
                      <w:sz w:val="20"/>
                      <w:szCs w:val="20"/>
                      <w:lang w:val="af-ZA"/>
                    </w:rPr>
                    <w:t>2015</w:t>
                  </w:r>
                </w:p>
              </w:tc>
              <w:tc>
                <w:tcPr>
                  <w:tcW w:w="896" w:type="dxa"/>
                  <w:tcBorders>
                    <w:right w:val="double" w:sz="4" w:space="0" w:color="auto"/>
                  </w:tcBorders>
                  <w:shd w:val="clear" w:color="auto" w:fill="CCCCCC"/>
                </w:tcPr>
                <w:p w14:paraId="13517BD1" w14:textId="77777777" w:rsidR="00284F63" w:rsidRPr="00943C7C" w:rsidRDefault="00284F63" w:rsidP="00284F63">
                  <w:pPr>
                    <w:spacing w:after="0" w:line="240" w:lineRule="auto"/>
                    <w:jc w:val="center"/>
                    <w:rPr>
                      <w:rFonts w:ascii="Arial" w:hAnsi="Arial" w:cs="Arial"/>
                      <w:noProof/>
                      <w:sz w:val="20"/>
                      <w:szCs w:val="20"/>
                      <w:lang w:val="af-ZA"/>
                    </w:rPr>
                  </w:pPr>
                  <w:r w:rsidRPr="00943C7C">
                    <w:rPr>
                      <w:rFonts w:ascii="Arial" w:hAnsi="Arial" w:cs="Arial"/>
                      <w:noProof/>
                      <w:sz w:val="20"/>
                      <w:szCs w:val="20"/>
                      <w:lang w:val="af-ZA"/>
                    </w:rPr>
                    <w:t>2016</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3807C842" w14:textId="77777777" w:rsidR="00284F63" w:rsidRPr="00943C7C" w:rsidRDefault="00284F63" w:rsidP="00284F63">
                  <w:pPr>
                    <w:spacing w:after="0" w:line="240" w:lineRule="auto"/>
                    <w:jc w:val="center"/>
                    <w:rPr>
                      <w:rFonts w:ascii="Arial" w:hAnsi="Arial" w:cs="Arial"/>
                      <w:b/>
                      <w:noProof/>
                      <w:sz w:val="20"/>
                      <w:szCs w:val="20"/>
                      <w:lang w:val="af-ZA"/>
                    </w:rPr>
                  </w:pPr>
                  <w:r w:rsidRPr="00943C7C">
                    <w:rPr>
                      <w:rFonts w:ascii="Arial" w:hAnsi="Arial" w:cs="Arial"/>
                      <w:b/>
                      <w:noProof/>
                      <w:sz w:val="20"/>
                      <w:szCs w:val="20"/>
                      <w:lang w:val="af-ZA"/>
                    </w:rPr>
                    <w:t>2017</w:t>
                  </w:r>
                </w:p>
              </w:tc>
              <w:tc>
                <w:tcPr>
                  <w:tcW w:w="1056" w:type="dxa"/>
                  <w:tcBorders>
                    <w:left w:val="double" w:sz="4" w:space="0" w:color="auto"/>
                    <w:right w:val="double" w:sz="4" w:space="0" w:color="auto"/>
                  </w:tcBorders>
                  <w:shd w:val="clear" w:color="auto" w:fill="E6E6E6"/>
                </w:tcPr>
                <w:p w14:paraId="1D9A62D2" w14:textId="77777777" w:rsidR="00284F63" w:rsidRPr="00943C7C" w:rsidRDefault="00284F63" w:rsidP="00284F63">
                  <w:pPr>
                    <w:spacing w:after="0" w:line="240" w:lineRule="auto"/>
                    <w:jc w:val="center"/>
                    <w:rPr>
                      <w:rFonts w:ascii="Arial" w:hAnsi="Arial" w:cs="Arial"/>
                      <w:noProof/>
                      <w:sz w:val="20"/>
                      <w:szCs w:val="20"/>
                      <w:lang w:val="af-ZA"/>
                    </w:rPr>
                  </w:pPr>
                  <w:r w:rsidRPr="00943C7C">
                    <w:rPr>
                      <w:rFonts w:ascii="Arial" w:hAnsi="Arial" w:cs="Arial"/>
                      <w:noProof/>
                      <w:sz w:val="20"/>
                      <w:szCs w:val="20"/>
                      <w:lang w:val="af-ZA"/>
                    </w:rPr>
                    <w:t>2016</w:t>
                  </w:r>
                </w:p>
              </w:tc>
              <w:tc>
                <w:tcPr>
                  <w:tcW w:w="1101" w:type="dxa"/>
                  <w:tcBorders>
                    <w:left w:val="double" w:sz="4" w:space="0" w:color="auto"/>
                    <w:right w:val="double" w:sz="4" w:space="0" w:color="auto"/>
                  </w:tcBorders>
                  <w:shd w:val="clear" w:color="auto" w:fill="E6E6E6"/>
                </w:tcPr>
                <w:p w14:paraId="46CDD9C5" w14:textId="77777777" w:rsidR="00284F63" w:rsidRPr="00943C7C" w:rsidRDefault="00284F63" w:rsidP="00284F63">
                  <w:pPr>
                    <w:spacing w:after="0" w:line="240" w:lineRule="auto"/>
                    <w:jc w:val="center"/>
                    <w:rPr>
                      <w:rFonts w:ascii="Arial" w:hAnsi="Arial" w:cs="Arial"/>
                      <w:b/>
                      <w:noProof/>
                      <w:sz w:val="20"/>
                      <w:szCs w:val="20"/>
                      <w:lang w:val="af-ZA"/>
                    </w:rPr>
                  </w:pPr>
                  <w:r w:rsidRPr="00943C7C">
                    <w:rPr>
                      <w:rFonts w:ascii="Arial" w:hAnsi="Arial" w:cs="Arial"/>
                      <w:b/>
                      <w:noProof/>
                      <w:sz w:val="20"/>
                      <w:szCs w:val="20"/>
                      <w:lang w:val="af-ZA"/>
                    </w:rPr>
                    <w:t>2017</w:t>
                  </w:r>
                </w:p>
              </w:tc>
              <w:tc>
                <w:tcPr>
                  <w:tcW w:w="1344" w:type="dxa"/>
                  <w:tcBorders>
                    <w:left w:val="double" w:sz="4" w:space="0" w:color="auto"/>
                  </w:tcBorders>
                  <w:shd w:val="clear" w:color="auto" w:fill="E6E6E6"/>
                </w:tcPr>
                <w:p w14:paraId="62283F58" w14:textId="77777777" w:rsidR="00284F63" w:rsidRPr="00943C7C" w:rsidRDefault="00284F63" w:rsidP="00284F63">
                  <w:pPr>
                    <w:spacing w:after="0" w:line="240" w:lineRule="auto"/>
                    <w:jc w:val="center"/>
                    <w:rPr>
                      <w:rFonts w:ascii="Arial" w:hAnsi="Arial" w:cs="Arial"/>
                      <w:noProof/>
                      <w:sz w:val="20"/>
                      <w:szCs w:val="20"/>
                      <w:lang w:val="af-ZA"/>
                    </w:rPr>
                  </w:pPr>
                  <w:r w:rsidRPr="00943C7C">
                    <w:rPr>
                      <w:rFonts w:ascii="Arial" w:hAnsi="Arial" w:cs="Arial"/>
                      <w:noProof/>
                      <w:sz w:val="20"/>
                      <w:szCs w:val="20"/>
                      <w:lang w:val="af-ZA"/>
                    </w:rPr>
                    <w:t>2017</w:t>
                  </w:r>
                </w:p>
              </w:tc>
              <w:tc>
                <w:tcPr>
                  <w:tcW w:w="1358" w:type="dxa"/>
                  <w:shd w:val="clear" w:color="auto" w:fill="E6E6E6"/>
                </w:tcPr>
                <w:p w14:paraId="3D12F892" w14:textId="77777777" w:rsidR="00284F63" w:rsidRPr="00943C7C" w:rsidRDefault="00284F63" w:rsidP="00284F63">
                  <w:pPr>
                    <w:spacing w:after="0" w:line="240" w:lineRule="auto"/>
                    <w:jc w:val="center"/>
                    <w:rPr>
                      <w:rFonts w:ascii="Arial" w:hAnsi="Arial" w:cs="Arial"/>
                      <w:noProof/>
                      <w:sz w:val="20"/>
                      <w:szCs w:val="20"/>
                      <w:lang w:val="af-ZA"/>
                    </w:rPr>
                  </w:pPr>
                  <w:r w:rsidRPr="00943C7C">
                    <w:rPr>
                      <w:rFonts w:ascii="Arial" w:hAnsi="Arial" w:cs="Arial"/>
                      <w:noProof/>
                      <w:sz w:val="20"/>
                      <w:szCs w:val="20"/>
                      <w:lang w:val="af-ZA"/>
                    </w:rPr>
                    <w:t>2017</w:t>
                  </w:r>
                </w:p>
              </w:tc>
              <w:tc>
                <w:tcPr>
                  <w:tcW w:w="0" w:type="auto"/>
                  <w:tcBorders>
                    <w:right w:val="single" w:sz="4" w:space="0" w:color="auto"/>
                  </w:tcBorders>
                  <w:shd w:val="clear" w:color="auto" w:fill="E6E6E6"/>
                </w:tcPr>
                <w:p w14:paraId="1BD6DE92" w14:textId="77777777" w:rsidR="00284F63" w:rsidRPr="00943C7C" w:rsidRDefault="00284F63" w:rsidP="00284F63">
                  <w:pPr>
                    <w:spacing w:after="0" w:line="240" w:lineRule="auto"/>
                    <w:jc w:val="center"/>
                    <w:rPr>
                      <w:rFonts w:ascii="Arial" w:hAnsi="Arial" w:cs="Arial"/>
                      <w:noProof/>
                      <w:sz w:val="20"/>
                      <w:szCs w:val="20"/>
                      <w:lang w:val="af-ZA"/>
                    </w:rPr>
                  </w:pPr>
                  <w:r w:rsidRPr="00943C7C">
                    <w:rPr>
                      <w:rFonts w:ascii="Arial" w:hAnsi="Arial" w:cs="Arial"/>
                      <w:noProof/>
                      <w:sz w:val="20"/>
                      <w:szCs w:val="20"/>
                      <w:lang w:val="af-ZA"/>
                    </w:rPr>
                    <w:t>2016</w:t>
                  </w:r>
                </w:p>
              </w:tc>
            </w:tr>
            <w:tr w:rsidR="009217A9" w:rsidRPr="00943C7C" w14:paraId="6E1755E1" w14:textId="77777777" w:rsidTr="002748C7">
              <w:trPr>
                <w:trHeight w:val="212"/>
              </w:trPr>
              <w:tc>
                <w:tcPr>
                  <w:tcW w:w="1966" w:type="dxa"/>
                  <w:tcBorders>
                    <w:left w:val="single" w:sz="4" w:space="0" w:color="auto"/>
                  </w:tcBorders>
                </w:tcPr>
                <w:p w14:paraId="38F7C37A" w14:textId="3F4E094C" w:rsidR="00CA41F2" w:rsidRPr="00943C7C" w:rsidRDefault="009217A9" w:rsidP="00CA41F2">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985" w:type="dxa"/>
                  <w:shd w:val="clear" w:color="auto" w:fill="CCCCCC"/>
                </w:tcPr>
                <w:p w14:paraId="141301A1" w14:textId="7F313FAA"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14.3 m </w:t>
                  </w:r>
                </w:p>
              </w:tc>
              <w:tc>
                <w:tcPr>
                  <w:tcW w:w="896" w:type="dxa"/>
                  <w:tcBorders>
                    <w:right w:val="double" w:sz="4" w:space="0" w:color="auto"/>
                  </w:tcBorders>
                  <w:shd w:val="clear" w:color="auto" w:fill="CCCCCC"/>
                </w:tcPr>
                <w:p w14:paraId="38323CF4" w14:textId="1F644E47"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12.8 m </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7A5930B5" w14:textId="661BB476"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 xml:space="preserve"> 14.6 m </w:t>
                  </w:r>
                </w:p>
              </w:tc>
              <w:tc>
                <w:tcPr>
                  <w:tcW w:w="1056" w:type="dxa"/>
                  <w:tcBorders>
                    <w:left w:val="double" w:sz="4" w:space="0" w:color="auto"/>
                    <w:right w:val="double" w:sz="4" w:space="0" w:color="auto"/>
                  </w:tcBorders>
                  <w:shd w:val="clear" w:color="auto" w:fill="E6E6E6"/>
                </w:tcPr>
                <w:p w14:paraId="4AAE8850" w14:textId="4FE6F553"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10.8 m</w:t>
                  </w:r>
                </w:p>
              </w:tc>
              <w:tc>
                <w:tcPr>
                  <w:tcW w:w="1101" w:type="dxa"/>
                  <w:tcBorders>
                    <w:left w:val="double" w:sz="4" w:space="0" w:color="auto"/>
                    <w:right w:val="double" w:sz="4" w:space="0" w:color="auto"/>
                  </w:tcBorders>
                  <w:shd w:val="clear" w:color="auto" w:fill="E6E6E6"/>
                </w:tcPr>
                <w:p w14:paraId="24B048F2" w14:textId="6A5E3E8D"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11.5 m</w:t>
                  </w:r>
                </w:p>
              </w:tc>
              <w:tc>
                <w:tcPr>
                  <w:tcW w:w="1344" w:type="dxa"/>
                  <w:tcBorders>
                    <w:left w:val="double" w:sz="4" w:space="0" w:color="auto"/>
                  </w:tcBorders>
                  <w:shd w:val="clear" w:color="auto" w:fill="E6E6E6"/>
                </w:tcPr>
                <w:p w14:paraId="19EB2443" w14:textId="3C92996A"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15.6 m</w:t>
                  </w:r>
                </w:p>
              </w:tc>
              <w:tc>
                <w:tcPr>
                  <w:tcW w:w="1358" w:type="dxa"/>
                  <w:shd w:val="clear" w:color="auto" w:fill="E6E6E6"/>
                </w:tcPr>
                <w:p w14:paraId="6CDAE897" w14:textId="5F144A74"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15.5 m </w:t>
                  </w:r>
                </w:p>
              </w:tc>
              <w:tc>
                <w:tcPr>
                  <w:tcW w:w="0" w:type="auto"/>
                  <w:tcBorders>
                    <w:right w:val="single" w:sz="4" w:space="0" w:color="auto"/>
                  </w:tcBorders>
                  <w:shd w:val="clear" w:color="auto" w:fill="E6E6E6"/>
                </w:tcPr>
                <w:p w14:paraId="2519E949" w14:textId="287920E7"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13.2 m</w:t>
                  </w:r>
                </w:p>
              </w:tc>
            </w:tr>
            <w:tr w:rsidR="009217A9" w:rsidRPr="00943C7C" w14:paraId="2F2D6769" w14:textId="77777777" w:rsidTr="002748C7">
              <w:trPr>
                <w:trHeight w:val="198"/>
              </w:trPr>
              <w:tc>
                <w:tcPr>
                  <w:tcW w:w="1966" w:type="dxa"/>
                  <w:tcBorders>
                    <w:left w:val="single" w:sz="4" w:space="0" w:color="auto"/>
                  </w:tcBorders>
                </w:tcPr>
                <w:p w14:paraId="10469A11" w14:textId="0924E0B0" w:rsidR="00CA41F2" w:rsidRPr="00943C7C" w:rsidRDefault="00CA41F2" w:rsidP="009217A9">
                  <w:pPr>
                    <w:spacing w:after="0" w:line="240" w:lineRule="auto"/>
                    <w:rPr>
                      <w:rFonts w:ascii="Arial" w:hAnsi="Arial" w:cs="Arial"/>
                      <w:noProof/>
                      <w:sz w:val="20"/>
                      <w:szCs w:val="20"/>
                      <w:lang w:val="af-ZA"/>
                    </w:rPr>
                  </w:pPr>
                  <w:r w:rsidRPr="00943C7C">
                    <w:rPr>
                      <w:rFonts w:ascii="Arial" w:hAnsi="Arial" w:cs="Arial"/>
                      <w:noProof/>
                      <w:sz w:val="20"/>
                      <w:szCs w:val="20"/>
                      <w:lang w:val="af-ZA"/>
                    </w:rPr>
                    <w:t>S</w:t>
                  </w:r>
                  <w:r w:rsidR="009217A9">
                    <w:rPr>
                      <w:rFonts w:ascii="Arial" w:hAnsi="Arial" w:cs="Arial"/>
                      <w:noProof/>
                      <w:sz w:val="20"/>
                      <w:szCs w:val="20"/>
                      <w:lang w:val="af-ZA"/>
                    </w:rPr>
                    <w:t>agte Sitrus</w:t>
                  </w:r>
                </w:p>
              </w:tc>
              <w:tc>
                <w:tcPr>
                  <w:tcW w:w="985" w:type="dxa"/>
                  <w:shd w:val="clear" w:color="auto" w:fill="CCCCCC"/>
                </w:tcPr>
                <w:p w14:paraId="7F91456E" w14:textId="49F012D0"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7.3 m </w:t>
                  </w:r>
                </w:p>
              </w:tc>
              <w:tc>
                <w:tcPr>
                  <w:tcW w:w="896" w:type="dxa"/>
                  <w:tcBorders>
                    <w:right w:val="double" w:sz="4" w:space="0" w:color="auto"/>
                  </w:tcBorders>
                  <w:shd w:val="clear" w:color="auto" w:fill="CCCCCC"/>
                </w:tcPr>
                <w:p w14:paraId="03218334" w14:textId="1A0E87B0"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9.3 m </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37B30748" w14:textId="3A782169"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 xml:space="preserve"> 9.4 m </w:t>
                  </w:r>
                </w:p>
              </w:tc>
              <w:tc>
                <w:tcPr>
                  <w:tcW w:w="1056" w:type="dxa"/>
                  <w:tcBorders>
                    <w:left w:val="double" w:sz="4" w:space="0" w:color="auto"/>
                    <w:right w:val="double" w:sz="4" w:space="0" w:color="auto"/>
                  </w:tcBorders>
                  <w:shd w:val="clear" w:color="auto" w:fill="E6E6E6"/>
                </w:tcPr>
                <w:p w14:paraId="6A2B2122" w14:textId="2DA69502"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7.9 m</w:t>
                  </w:r>
                </w:p>
              </w:tc>
              <w:tc>
                <w:tcPr>
                  <w:tcW w:w="1101" w:type="dxa"/>
                  <w:tcBorders>
                    <w:left w:val="double" w:sz="4" w:space="0" w:color="auto"/>
                    <w:right w:val="double" w:sz="4" w:space="0" w:color="auto"/>
                  </w:tcBorders>
                  <w:shd w:val="clear" w:color="auto" w:fill="E6E6E6"/>
                </w:tcPr>
                <w:p w14:paraId="13A30D3D" w14:textId="6AAF3BBA"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8.5 m</w:t>
                  </w:r>
                </w:p>
              </w:tc>
              <w:tc>
                <w:tcPr>
                  <w:tcW w:w="1344" w:type="dxa"/>
                  <w:tcBorders>
                    <w:left w:val="double" w:sz="4" w:space="0" w:color="auto"/>
                  </w:tcBorders>
                  <w:shd w:val="clear" w:color="auto" w:fill="E6E6E6"/>
                </w:tcPr>
                <w:p w14:paraId="713FA89C" w14:textId="5F932BC8"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13.2 m</w:t>
                  </w:r>
                </w:p>
              </w:tc>
              <w:tc>
                <w:tcPr>
                  <w:tcW w:w="1358" w:type="dxa"/>
                  <w:shd w:val="clear" w:color="auto" w:fill="E6E6E6"/>
                </w:tcPr>
                <w:p w14:paraId="32346581" w14:textId="2C037000"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13.6 m </w:t>
                  </w:r>
                </w:p>
              </w:tc>
              <w:tc>
                <w:tcPr>
                  <w:tcW w:w="0" w:type="auto"/>
                  <w:tcBorders>
                    <w:right w:val="single" w:sz="4" w:space="0" w:color="auto"/>
                  </w:tcBorders>
                  <w:shd w:val="clear" w:color="auto" w:fill="E6E6E6"/>
                </w:tcPr>
                <w:p w14:paraId="1F26D105" w14:textId="1AEC6966"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12.2 m</w:t>
                  </w:r>
                </w:p>
              </w:tc>
            </w:tr>
            <w:tr w:rsidR="009217A9" w:rsidRPr="00943C7C" w14:paraId="1E3D0242" w14:textId="77777777" w:rsidTr="002748C7">
              <w:trPr>
                <w:trHeight w:val="178"/>
              </w:trPr>
              <w:tc>
                <w:tcPr>
                  <w:tcW w:w="1966" w:type="dxa"/>
                  <w:tcBorders>
                    <w:left w:val="single" w:sz="4" w:space="0" w:color="auto"/>
                  </w:tcBorders>
                </w:tcPr>
                <w:p w14:paraId="7BE502A1" w14:textId="4EB6412F" w:rsidR="00CA41F2" w:rsidRPr="00943C7C" w:rsidRDefault="009217A9" w:rsidP="00CA41F2">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985" w:type="dxa"/>
                  <w:shd w:val="clear" w:color="auto" w:fill="CCCCCC"/>
                </w:tcPr>
                <w:p w14:paraId="1BA2D260" w14:textId="7A9426C6"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12.4 m </w:t>
                  </w:r>
                </w:p>
              </w:tc>
              <w:tc>
                <w:tcPr>
                  <w:tcW w:w="896" w:type="dxa"/>
                  <w:tcBorders>
                    <w:right w:val="double" w:sz="4" w:space="0" w:color="auto"/>
                  </w:tcBorders>
                  <w:shd w:val="clear" w:color="auto" w:fill="CCCCCC"/>
                </w:tcPr>
                <w:p w14:paraId="506D7854" w14:textId="20A06707"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12.8 m </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12AE04FC" w14:textId="449D3D00"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 xml:space="preserve"> 16.4 m </w:t>
                  </w:r>
                </w:p>
              </w:tc>
              <w:tc>
                <w:tcPr>
                  <w:tcW w:w="1056" w:type="dxa"/>
                  <w:tcBorders>
                    <w:left w:val="double" w:sz="4" w:space="0" w:color="auto"/>
                    <w:right w:val="double" w:sz="4" w:space="0" w:color="auto"/>
                  </w:tcBorders>
                  <w:shd w:val="clear" w:color="auto" w:fill="E6E6E6"/>
                </w:tcPr>
                <w:p w14:paraId="3902028D" w14:textId="5F3A1173"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11.8 m</w:t>
                  </w:r>
                </w:p>
              </w:tc>
              <w:tc>
                <w:tcPr>
                  <w:tcW w:w="1101" w:type="dxa"/>
                  <w:tcBorders>
                    <w:left w:val="double" w:sz="4" w:space="0" w:color="auto"/>
                    <w:right w:val="double" w:sz="4" w:space="0" w:color="auto"/>
                  </w:tcBorders>
                  <w:shd w:val="clear" w:color="auto" w:fill="E6E6E6"/>
                </w:tcPr>
                <w:p w14:paraId="1D28AE3F" w14:textId="51BC4A8F"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14.8 m</w:t>
                  </w:r>
                </w:p>
              </w:tc>
              <w:tc>
                <w:tcPr>
                  <w:tcW w:w="1344" w:type="dxa"/>
                  <w:tcBorders>
                    <w:left w:val="double" w:sz="4" w:space="0" w:color="auto"/>
                  </w:tcBorders>
                  <w:shd w:val="clear" w:color="auto" w:fill="E6E6E6"/>
                </w:tcPr>
                <w:p w14:paraId="3CB16441" w14:textId="3F852B5D"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17.5 m</w:t>
                  </w:r>
                </w:p>
              </w:tc>
              <w:tc>
                <w:tcPr>
                  <w:tcW w:w="1358" w:type="dxa"/>
                  <w:shd w:val="clear" w:color="auto" w:fill="E6E6E6"/>
                </w:tcPr>
                <w:p w14:paraId="7C5FE262" w14:textId="72DD5956"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16.6 m </w:t>
                  </w:r>
                </w:p>
              </w:tc>
              <w:tc>
                <w:tcPr>
                  <w:tcW w:w="0" w:type="auto"/>
                  <w:tcBorders>
                    <w:right w:val="single" w:sz="4" w:space="0" w:color="auto"/>
                  </w:tcBorders>
                  <w:shd w:val="clear" w:color="auto" w:fill="E6E6E6"/>
                </w:tcPr>
                <w:p w14:paraId="057CC277" w14:textId="30B92E2E"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15 m</w:t>
                  </w:r>
                </w:p>
              </w:tc>
            </w:tr>
            <w:tr w:rsidR="009217A9" w:rsidRPr="00943C7C" w14:paraId="1D0BF3D2" w14:textId="77777777" w:rsidTr="002748C7">
              <w:trPr>
                <w:trHeight w:val="198"/>
              </w:trPr>
              <w:tc>
                <w:tcPr>
                  <w:tcW w:w="1966" w:type="dxa"/>
                  <w:tcBorders>
                    <w:left w:val="single" w:sz="4" w:space="0" w:color="auto"/>
                  </w:tcBorders>
                </w:tcPr>
                <w:p w14:paraId="258C6C34" w14:textId="419F456D" w:rsidR="00CA41F2" w:rsidRPr="00943C7C" w:rsidRDefault="009217A9" w:rsidP="00CA41F2">
                  <w:pPr>
                    <w:spacing w:after="0" w:line="240" w:lineRule="auto"/>
                    <w:rPr>
                      <w:rFonts w:ascii="Arial" w:hAnsi="Arial" w:cs="Arial"/>
                      <w:noProof/>
                      <w:sz w:val="20"/>
                      <w:szCs w:val="20"/>
                      <w:lang w:val="af-ZA"/>
                    </w:rPr>
                  </w:pPr>
                  <w:r>
                    <w:rPr>
                      <w:rFonts w:ascii="Arial" w:hAnsi="Arial" w:cs="Arial"/>
                      <w:noProof/>
                      <w:sz w:val="20"/>
                      <w:szCs w:val="20"/>
                      <w:lang w:val="af-ZA"/>
                    </w:rPr>
                    <w:t>Nawels</w:t>
                  </w:r>
                </w:p>
              </w:tc>
              <w:tc>
                <w:tcPr>
                  <w:tcW w:w="985" w:type="dxa"/>
                  <w:shd w:val="clear" w:color="auto" w:fill="CCCCCC"/>
                </w:tcPr>
                <w:p w14:paraId="171FD2A5" w14:textId="4B2D70F4"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19.5 m </w:t>
                  </w:r>
                </w:p>
              </w:tc>
              <w:tc>
                <w:tcPr>
                  <w:tcW w:w="896" w:type="dxa"/>
                  <w:tcBorders>
                    <w:right w:val="double" w:sz="4" w:space="0" w:color="auto"/>
                  </w:tcBorders>
                  <w:shd w:val="clear" w:color="auto" w:fill="CCCCCC"/>
                </w:tcPr>
                <w:p w14:paraId="3AE0CFEB" w14:textId="29531D1B"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22.1 m </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5D954B40" w14:textId="74904DD3"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 xml:space="preserve"> 17.8 m </w:t>
                  </w:r>
                </w:p>
              </w:tc>
              <w:tc>
                <w:tcPr>
                  <w:tcW w:w="1056" w:type="dxa"/>
                  <w:tcBorders>
                    <w:left w:val="double" w:sz="4" w:space="0" w:color="auto"/>
                    <w:right w:val="double" w:sz="4" w:space="0" w:color="auto"/>
                  </w:tcBorders>
                  <w:shd w:val="clear" w:color="auto" w:fill="E6E6E6"/>
                </w:tcPr>
                <w:p w14:paraId="4374D122" w14:textId="5F06A09F"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19.3 m</w:t>
                  </w:r>
                </w:p>
              </w:tc>
              <w:tc>
                <w:tcPr>
                  <w:tcW w:w="1101" w:type="dxa"/>
                  <w:tcBorders>
                    <w:left w:val="double" w:sz="4" w:space="0" w:color="auto"/>
                    <w:right w:val="double" w:sz="4" w:space="0" w:color="auto"/>
                  </w:tcBorders>
                  <w:shd w:val="clear" w:color="auto" w:fill="E6E6E6"/>
                </w:tcPr>
                <w:p w14:paraId="7387DAFE" w14:textId="1C4CCF1A"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16 m</w:t>
                  </w:r>
                </w:p>
              </w:tc>
              <w:tc>
                <w:tcPr>
                  <w:tcW w:w="1344" w:type="dxa"/>
                  <w:tcBorders>
                    <w:left w:val="double" w:sz="4" w:space="0" w:color="auto"/>
                  </w:tcBorders>
                  <w:shd w:val="clear" w:color="auto" w:fill="E6E6E6"/>
                </w:tcPr>
                <w:p w14:paraId="3DE933B7" w14:textId="49B1DC08"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26.3 m</w:t>
                  </w:r>
                </w:p>
              </w:tc>
              <w:tc>
                <w:tcPr>
                  <w:tcW w:w="1358" w:type="dxa"/>
                  <w:shd w:val="clear" w:color="auto" w:fill="E6E6E6"/>
                </w:tcPr>
                <w:p w14:paraId="3671CD9F" w14:textId="4752F29A"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20 m </w:t>
                  </w:r>
                </w:p>
              </w:tc>
              <w:tc>
                <w:tcPr>
                  <w:tcW w:w="0" w:type="auto"/>
                  <w:tcBorders>
                    <w:right w:val="single" w:sz="4" w:space="0" w:color="auto"/>
                  </w:tcBorders>
                  <w:shd w:val="clear" w:color="auto" w:fill="E6E6E6"/>
                </w:tcPr>
                <w:p w14:paraId="46EA13F2" w14:textId="5431D3AA"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26.2 m</w:t>
                  </w:r>
                </w:p>
              </w:tc>
            </w:tr>
            <w:tr w:rsidR="009217A9" w:rsidRPr="00943C7C" w14:paraId="237C5631" w14:textId="77777777" w:rsidTr="002748C7">
              <w:trPr>
                <w:trHeight w:val="243"/>
              </w:trPr>
              <w:tc>
                <w:tcPr>
                  <w:tcW w:w="1966" w:type="dxa"/>
                  <w:tcBorders>
                    <w:left w:val="single" w:sz="4" w:space="0" w:color="auto"/>
                  </w:tcBorders>
                </w:tcPr>
                <w:p w14:paraId="6E958F03" w14:textId="16374768" w:rsidR="00CA41F2" w:rsidRPr="00943C7C" w:rsidRDefault="00CA41F2" w:rsidP="00CA41F2">
                  <w:pPr>
                    <w:spacing w:after="0" w:line="240" w:lineRule="auto"/>
                    <w:rPr>
                      <w:rFonts w:ascii="Arial" w:hAnsi="Arial" w:cs="Arial"/>
                      <w:noProof/>
                      <w:sz w:val="20"/>
                      <w:szCs w:val="20"/>
                      <w:lang w:val="af-ZA"/>
                    </w:rPr>
                  </w:pPr>
                  <w:r w:rsidRPr="00943C7C">
                    <w:rPr>
                      <w:rFonts w:ascii="Arial" w:hAnsi="Arial" w:cs="Arial"/>
                      <w:noProof/>
                      <w:sz w:val="20"/>
                      <w:szCs w:val="20"/>
                      <w:lang w:val="af-ZA"/>
                    </w:rPr>
                    <w:t>Valencia</w:t>
                  </w:r>
                  <w:r w:rsidR="009217A9">
                    <w:rPr>
                      <w:rFonts w:ascii="Arial" w:hAnsi="Arial" w:cs="Arial"/>
                      <w:noProof/>
                      <w:sz w:val="20"/>
                      <w:szCs w:val="20"/>
                      <w:lang w:val="af-ZA"/>
                    </w:rPr>
                    <w:t>s</w:t>
                  </w:r>
                </w:p>
              </w:tc>
              <w:tc>
                <w:tcPr>
                  <w:tcW w:w="985" w:type="dxa"/>
                  <w:shd w:val="clear" w:color="auto" w:fill="CCCCCC"/>
                </w:tcPr>
                <w:p w14:paraId="7A9C4A1E" w14:textId="1691F2CF"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12.7 m </w:t>
                  </w:r>
                </w:p>
              </w:tc>
              <w:tc>
                <w:tcPr>
                  <w:tcW w:w="896" w:type="dxa"/>
                  <w:tcBorders>
                    <w:right w:val="double" w:sz="4" w:space="0" w:color="auto"/>
                  </w:tcBorders>
                  <w:shd w:val="clear" w:color="auto" w:fill="CCCCCC"/>
                </w:tcPr>
                <w:p w14:paraId="58D44D9E" w14:textId="781C9EB3"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13.4 m </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63B295D1" w14:textId="7D013F5F"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 xml:space="preserve"> 16.3 m </w:t>
                  </w:r>
                </w:p>
              </w:tc>
              <w:tc>
                <w:tcPr>
                  <w:tcW w:w="1056" w:type="dxa"/>
                  <w:tcBorders>
                    <w:left w:val="double" w:sz="4" w:space="0" w:color="auto"/>
                    <w:right w:val="double" w:sz="4" w:space="0" w:color="auto"/>
                  </w:tcBorders>
                  <w:shd w:val="clear" w:color="auto" w:fill="E6E6E6"/>
                </w:tcPr>
                <w:p w14:paraId="552A5096" w14:textId="33E91394"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8.3 m</w:t>
                  </w:r>
                </w:p>
              </w:tc>
              <w:tc>
                <w:tcPr>
                  <w:tcW w:w="1101" w:type="dxa"/>
                  <w:tcBorders>
                    <w:left w:val="double" w:sz="4" w:space="0" w:color="auto"/>
                    <w:right w:val="double" w:sz="4" w:space="0" w:color="auto"/>
                  </w:tcBorders>
                  <w:shd w:val="clear" w:color="auto" w:fill="E6E6E6"/>
                </w:tcPr>
                <w:p w14:paraId="53626647" w14:textId="0FA0D62E"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8.8 m</w:t>
                  </w:r>
                </w:p>
              </w:tc>
              <w:tc>
                <w:tcPr>
                  <w:tcW w:w="1344" w:type="dxa"/>
                  <w:tcBorders>
                    <w:left w:val="double" w:sz="4" w:space="0" w:color="auto"/>
                  </w:tcBorders>
                  <w:shd w:val="clear" w:color="auto" w:fill="E6E6E6"/>
                </w:tcPr>
                <w:p w14:paraId="00FA9F31" w14:textId="28456C24"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50.1 m</w:t>
                  </w:r>
                </w:p>
              </w:tc>
              <w:tc>
                <w:tcPr>
                  <w:tcW w:w="1358" w:type="dxa"/>
                  <w:shd w:val="clear" w:color="auto" w:fill="E6E6E6"/>
                </w:tcPr>
                <w:p w14:paraId="29B9D5C5" w14:textId="0A527B38"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48.5 m </w:t>
                  </w:r>
                </w:p>
              </w:tc>
              <w:tc>
                <w:tcPr>
                  <w:tcW w:w="0" w:type="auto"/>
                  <w:tcBorders>
                    <w:right w:val="single" w:sz="4" w:space="0" w:color="auto"/>
                  </w:tcBorders>
                  <w:shd w:val="clear" w:color="auto" w:fill="E6E6E6"/>
                </w:tcPr>
                <w:p w14:paraId="594ABE88" w14:textId="194DDA87"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41.8 m</w:t>
                  </w:r>
                </w:p>
              </w:tc>
            </w:tr>
            <w:tr w:rsidR="009217A9" w:rsidRPr="00943C7C" w14:paraId="0C7E1B0F" w14:textId="77777777" w:rsidTr="002748C7">
              <w:trPr>
                <w:trHeight w:val="212"/>
              </w:trPr>
              <w:tc>
                <w:tcPr>
                  <w:tcW w:w="1966" w:type="dxa"/>
                  <w:tcBorders>
                    <w:left w:val="single" w:sz="4" w:space="0" w:color="auto"/>
                    <w:bottom w:val="single" w:sz="4" w:space="0" w:color="auto"/>
                  </w:tcBorders>
                </w:tcPr>
                <w:p w14:paraId="74034B72" w14:textId="61BB2E55" w:rsidR="00CA41F2" w:rsidRPr="00943C7C" w:rsidRDefault="00CA41F2" w:rsidP="00CA41F2">
                  <w:pPr>
                    <w:spacing w:after="0" w:line="240" w:lineRule="auto"/>
                    <w:rPr>
                      <w:rFonts w:ascii="Arial" w:hAnsi="Arial" w:cs="Arial"/>
                      <w:noProof/>
                      <w:sz w:val="20"/>
                      <w:szCs w:val="20"/>
                      <w:lang w:val="af-ZA"/>
                    </w:rPr>
                  </w:pPr>
                  <w:r w:rsidRPr="00943C7C">
                    <w:rPr>
                      <w:rFonts w:ascii="Arial" w:hAnsi="Arial" w:cs="Arial"/>
                      <w:noProof/>
                      <w:sz w:val="20"/>
                      <w:szCs w:val="20"/>
                      <w:lang w:val="af-ZA"/>
                    </w:rPr>
                    <w:t>Tota</w:t>
                  </w:r>
                  <w:r w:rsidR="009217A9">
                    <w:rPr>
                      <w:rFonts w:ascii="Arial" w:hAnsi="Arial" w:cs="Arial"/>
                      <w:noProof/>
                      <w:sz w:val="20"/>
                      <w:szCs w:val="20"/>
                      <w:lang w:val="af-ZA"/>
                    </w:rPr>
                    <w:t>a</w:t>
                  </w:r>
                  <w:r w:rsidRPr="00943C7C">
                    <w:rPr>
                      <w:rFonts w:ascii="Arial" w:hAnsi="Arial" w:cs="Arial"/>
                      <w:noProof/>
                      <w:sz w:val="20"/>
                      <w:szCs w:val="20"/>
                      <w:lang w:val="af-ZA"/>
                    </w:rPr>
                    <w:t>l</w:t>
                  </w:r>
                </w:p>
              </w:tc>
              <w:tc>
                <w:tcPr>
                  <w:tcW w:w="985" w:type="dxa"/>
                  <w:tcBorders>
                    <w:bottom w:val="single" w:sz="4" w:space="0" w:color="auto"/>
                  </w:tcBorders>
                  <w:shd w:val="clear" w:color="auto" w:fill="CCCCCC"/>
                </w:tcPr>
                <w:p w14:paraId="3D7256B7" w14:textId="5AC535F2"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66.3 m </w:t>
                  </w:r>
                </w:p>
              </w:tc>
              <w:tc>
                <w:tcPr>
                  <w:tcW w:w="896" w:type="dxa"/>
                  <w:tcBorders>
                    <w:bottom w:val="single" w:sz="4" w:space="0" w:color="auto"/>
                    <w:right w:val="double" w:sz="4" w:space="0" w:color="auto"/>
                  </w:tcBorders>
                  <w:shd w:val="clear" w:color="auto" w:fill="CCCCCC"/>
                </w:tcPr>
                <w:p w14:paraId="66757F86" w14:textId="5AB37B00"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70.4 m </w:t>
                  </w:r>
                </w:p>
              </w:tc>
              <w:tc>
                <w:tcPr>
                  <w:tcW w:w="978" w:type="dxa"/>
                  <w:tcBorders>
                    <w:top w:val="single" w:sz="4" w:space="0" w:color="auto"/>
                    <w:left w:val="double" w:sz="4" w:space="0" w:color="auto"/>
                    <w:bottom w:val="single" w:sz="4" w:space="0" w:color="auto"/>
                    <w:right w:val="double" w:sz="4" w:space="0" w:color="auto"/>
                  </w:tcBorders>
                  <w:shd w:val="clear" w:color="auto" w:fill="CCCCCC"/>
                </w:tcPr>
                <w:p w14:paraId="44AA17BD" w14:textId="32829308"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 xml:space="preserve"> 74.5 m </w:t>
                  </w:r>
                </w:p>
              </w:tc>
              <w:tc>
                <w:tcPr>
                  <w:tcW w:w="1056" w:type="dxa"/>
                  <w:tcBorders>
                    <w:left w:val="double" w:sz="4" w:space="0" w:color="auto"/>
                    <w:bottom w:val="single" w:sz="4" w:space="0" w:color="auto"/>
                    <w:right w:val="double" w:sz="4" w:space="0" w:color="auto"/>
                  </w:tcBorders>
                  <w:shd w:val="clear" w:color="auto" w:fill="E6E6E6"/>
                </w:tcPr>
                <w:p w14:paraId="4C5D8241" w14:textId="564F6030"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58.2 m</w:t>
                  </w:r>
                </w:p>
              </w:tc>
              <w:tc>
                <w:tcPr>
                  <w:tcW w:w="1101" w:type="dxa"/>
                  <w:tcBorders>
                    <w:left w:val="double" w:sz="4" w:space="0" w:color="auto"/>
                    <w:bottom w:val="single" w:sz="4" w:space="0" w:color="auto"/>
                    <w:right w:val="double" w:sz="4" w:space="0" w:color="auto"/>
                  </w:tcBorders>
                  <w:shd w:val="clear" w:color="auto" w:fill="E6E6E6"/>
                </w:tcPr>
                <w:p w14:paraId="3A5AD43A" w14:textId="3E29F9D0" w:rsidR="00CA41F2" w:rsidRPr="00943C7C" w:rsidRDefault="00CA41F2" w:rsidP="00CA41F2">
                  <w:pPr>
                    <w:spacing w:after="0" w:line="240" w:lineRule="auto"/>
                    <w:jc w:val="center"/>
                    <w:rPr>
                      <w:rFonts w:ascii="Arial" w:hAnsi="Arial" w:cs="Arial"/>
                      <w:b/>
                      <w:noProof/>
                      <w:sz w:val="20"/>
                      <w:szCs w:val="20"/>
                      <w:lang w:val="af-ZA"/>
                    </w:rPr>
                  </w:pPr>
                  <w:r w:rsidRPr="00943C7C">
                    <w:rPr>
                      <w:noProof/>
                      <w:lang w:val="af-ZA"/>
                    </w:rPr>
                    <w:t>59.6 m</w:t>
                  </w:r>
                </w:p>
              </w:tc>
              <w:tc>
                <w:tcPr>
                  <w:tcW w:w="1344" w:type="dxa"/>
                  <w:tcBorders>
                    <w:left w:val="double" w:sz="4" w:space="0" w:color="auto"/>
                    <w:bottom w:val="single" w:sz="4" w:space="0" w:color="auto"/>
                  </w:tcBorders>
                  <w:shd w:val="clear" w:color="auto" w:fill="E6E6E6"/>
                </w:tcPr>
                <w:p w14:paraId="498C7C07" w14:textId="6B617B60"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122.7 m</w:t>
                  </w:r>
                </w:p>
              </w:tc>
              <w:tc>
                <w:tcPr>
                  <w:tcW w:w="1358" w:type="dxa"/>
                  <w:tcBorders>
                    <w:bottom w:val="single" w:sz="4" w:space="0" w:color="auto"/>
                  </w:tcBorders>
                  <w:shd w:val="clear" w:color="auto" w:fill="E6E6E6"/>
                </w:tcPr>
                <w:p w14:paraId="2D7EF2E8" w14:textId="15C6F169"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 xml:space="preserve"> 114.1 m </w:t>
                  </w:r>
                </w:p>
              </w:tc>
              <w:tc>
                <w:tcPr>
                  <w:tcW w:w="0" w:type="auto"/>
                  <w:tcBorders>
                    <w:bottom w:val="single" w:sz="4" w:space="0" w:color="auto"/>
                    <w:right w:val="single" w:sz="4" w:space="0" w:color="auto"/>
                  </w:tcBorders>
                  <w:shd w:val="clear" w:color="auto" w:fill="E6E6E6"/>
                </w:tcPr>
                <w:p w14:paraId="7A398A5D" w14:textId="0C281367" w:rsidR="00CA41F2" w:rsidRPr="00943C7C" w:rsidRDefault="00CA41F2" w:rsidP="00CA41F2">
                  <w:pPr>
                    <w:spacing w:after="0" w:line="240" w:lineRule="auto"/>
                    <w:jc w:val="center"/>
                    <w:rPr>
                      <w:rFonts w:ascii="Arial" w:hAnsi="Arial" w:cs="Arial"/>
                      <w:noProof/>
                      <w:sz w:val="20"/>
                      <w:szCs w:val="20"/>
                      <w:lang w:val="af-ZA"/>
                    </w:rPr>
                  </w:pPr>
                  <w:r w:rsidRPr="00943C7C">
                    <w:rPr>
                      <w:noProof/>
                      <w:lang w:val="af-ZA"/>
                    </w:rPr>
                    <w:t>108.4 m</w:t>
                  </w:r>
                </w:p>
              </w:tc>
            </w:tr>
          </w:tbl>
          <w:bookmarkEnd w:id="1"/>
          <w:bookmarkEnd w:id="2"/>
          <w:p w14:paraId="5CE0B8EF" w14:textId="1945F87B" w:rsidR="00101314" w:rsidRPr="00943C7C" w:rsidRDefault="002748C7" w:rsidP="002748C7">
            <w:pPr>
              <w:spacing w:after="0" w:line="240" w:lineRule="auto"/>
              <w:jc w:val="center"/>
              <w:rPr>
                <w:rFonts w:asciiTheme="minorHAnsi" w:hAnsiTheme="minorHAnsi" w:cstheme="minorHAnsi"/>
                <w:noProof/>
                <w:color w:val="FF0000"/>
                <w:lang w:val="af-ZA"/>
              </w:rPr>
            </w:pPr>
            <w:r w:rsidRPr="002748C7">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tc>
      </w:tr>
      <w:tr w:rsidR="00F553C7" w:rsidRPr="00901D81" w14:paraId="24A394E6" w14:textId="77777777" w:rsidTr="002748C7">
        <w:tblPrEx>
          <w:tblCellMar>
            <w:left w:w="15" w:type="dxa"/>
            <w:right w:w="15" w:type="dxa"/>
          </w:tblCellMar>
        </w:tblPrEx>
        <w:trPr>
          <w:trHeight w:val="96"/>
          <w:tblCellSpacing w:w="0" w:type="dxa"/>
        </w:trPr>
        <w:tc>
          <w:tcPr>
            <w:tcW w:w="10883" w:type="dxa"/>
            <w:shd w:val="clear" w:color="auto" w:fill="auto"/>
            <w:vAlign w:val="center"/>
          </w:tcPr>
          <w:p w14:paraId="514A2613" w14:textId="6078E715" w:rsidR="00F553C7" w:rsidRPr="002748C7" w:rsidRDefault="00F553C7" w:rsidP="002748C7">
            <w:pPr>
              <w:spacing w:after="0" w:line="240" w:lineRule="auto"/>
              <w:jc w:val="center"/>
              <w:rPr>
                <w:rFonts w:ascii="Arial" w:hAnsi="Arial" w:cs="Arial"/>
                <w:b/>
                <w:bCs/>
                <w:noProof/>
                <w:color w:val="00B050"/>
                <w:sz w:val="18"/>
                <w:szCs w:val="4"/>
                <w:u w:val="single"/>
                <w:lang w:val="af-ZA"/>
              </w:rPr>
            </w:pPr>
          </w:p>
        </w:tc>
      </w:tr>
      <w:tr w:rsidR="001E5068" w:rsidRPr="00901D81" w14:paraId="74002CA4" w14:textId="77777777" w:rsidTr="002748C7">
        <w:tblPrEx>
          <w:tblCellMar>
            <w:left w:w="15" w:type="dxa"/>
            <w:right w:w="15" w:type="dxa"/>
          </w:tblCellMar>
        </w:tblPrEx>
        <w:trPr>
          <w:trHeight w:val="47"/>
          <w:tblCellSpacing w:w="0" w:type="dxa"/>
        </w:trPr>
        <w:tc>
          <w:tcPr>
            <w:tcW w:w="10883" w:type="dxa"/>
            <w:shd w:val="clear" w:color="auto" w:fill="auto"/>
            <w:vAlign w:val="center"/>
          </w:tcPr>
          <w:p w14:paraId="329407E8" w14:textId="77777777" w:rsidR="00DE415C" w:rsidRPr="002748C7" w:rsidRDefault="00DE415C" w:rsidP="00E33132">
            <w:pPr>
              <w:spacing w:after="0" w:line="240" w:lineRule="auto"/>
              <w:rPr>
                <w:rFonts w:ascii="Arial" w:hAnsi="Arial" w:cs="Arial"/>
                <w:b/>
                <w:bCs/>
                <w:color w:val="00B050"/>
                <w:sz w:val="18"/>
                <w:szCs w:val="4"/>
                <w:u w:val="single"/>
                <w:lang w:val="en-GB"/>
              </w:rPr>
            </w:pPr>
          </w:p>
        </w:tc>
      </w:tr>
    </w:tbl>
    <w:p w14:paraId="45BD75DB" w14:textId="77777777"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305275"/>
    <w:multiLevelType w:val="multilevel"/>
    <w:tmpl w:val="4CB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3379"/>
    <w:multiLevelType w:val="multilevel"/>
    <w:tmpl w:val="C044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2670847"/>
    <w:multiLevelType w:val="multilevel"/>
    <w:tmpl w:val="57A2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F295101"/>
    <w:multiLevelType w:val="multilevel"/>
    <w:tmpl w:val="C9B0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65423"/>
    <w:multiLevelType w:val="hybridMultilevel"/>
    <w:tmpl w:val="25A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11"/>
  </w:num>
  <w:num w:numId="10">
    <w:abstractNumId w:val="6"/>
  </w:num>
  <w:num w:numId="11">
    <w:abstractNumId w:val="2"/>
  </w:num>
  <w:num w:numId="12">
    <w:abstractNumId w:val="3"/>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8EE"/>
    <w:rsid w:val="00052BFF"/>
    <w:rsid w:val="00053BC7"/>
    <w:rsid w:val="00055AC2"/>
    <w:rsid w:val="00055AD9"/>
    <w:rsid w:val="00061C0E"/>
    <w:rsid w:val="0006419B"/>
    <w:rsid w:val="00064F3C"/>
    <w:rsid w:val="0006505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C7667"/>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3A2"/>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15B"/>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6D"/>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ACB"/>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48C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13E"/>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1335"/>
    <w:rsid w:val="00342D1C"/>
    <w:rsid w:val="00343184"/>
    <w:rsid w:val="0034591A"/>
    <w:rsid w:val="00345F68"/>
    <w:rsid w:val="003460DA"/>
    <w:rsid w:val="00346ED6"/>
    <w:rsid w:val="003502D7"/>
    <w:rsid w:val="003507EC"/>
    <w:rsid w:val="00350C59"/>
    <w:rsid w:val="0035159A"/>
    <w:rsid w:val="00352180"/>
    <w:rsid w:val="00352763"/>
    <w:rsid w:val="0035437A"/>
    <w:rsid w:val="00355039"/>
    <w:rsid w:val="00355186"/>
    <w:rsid w:val="00355E60"/>
    <w:rsid w:val="00356E8D"/>
    <w:rsid w:val="00357135"/>
    <w:rsid w:val="00360880"/>
    <w:rsid w:val="0036185A"/>
    <w:rsid w:val="003622C3"/>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3A19"/>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D63A3"/>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278"/>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2504"/>
    <w:rsid w:val="00443443"/>
    <w:rsid w:val="00443C48"/>
    <w:rsid w:val="0044419E"/>
    <w:rsid w:val="00445F30"/>
    <w:rsid w:val="004464AB"/>
    <w:rsid w:val="00447271"/>
    <w:rsid w:val="00450A05"/>
    <w:rsid w:val="00450A62"/>
    <w:rsid w:val="00450EF6"/>
    <w:rsid w:val="004524CA"/>
    <w:rsid w:val="00452674"/>
    <w:rsid w:val="004531D2"/>
    <w:rsid w:val="00453F83"/>
    <w:rsid w:val="00455759"/>
    <w:rsid w:val="00455A25"/>
    <w:rsid w:val="0045747D"/>
    <w:rsid w:val="00457BA7"/>
    <w:rsid w:val="00461A43"/>
    <w:rsid w:val="00461D38"/>
    <w:rsid w:val="00462E78"/>
    <w:rsid w:val="00462F4F"/>
    <w:rsid w:val="004655CE"/>
    <w:rsid w:val="00466F4D"/>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6DE8"/>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6F96"/>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422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33E4"/>
    <w:rsid w:val="007041A9"/>
    <w:rsid w:val="00705A1D"/>
    <w:rsid w:val="007068FA"/>
    <w:rsid w:val="00706FA1"/>
    <w:rsid w:val="00707E81"/>
    <w:rsid w:val="00711E5A"/>
    <w:rsid w:val="007122BD"/>
    <w:rsid w:val="007135FB"/>
    <w:rsid w:val="00713C41"/>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A68FB"/>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FDB"/>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5409"/>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9F8"/>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5E67"/>
    <w:rsid w:val="008E7F06"/>
    <w:rsid w:val="008F0B46"/>
    <w:rsid w:val="008F1E05"/>
    <w:rsid w:val="008F1F08"/>
    <w:rsid w:val="008F2771"/>
    <w:rsid w:val="008F2C5E"/>
    <w:rsid w:val="008F37D3"/>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17A9"/>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3C7C"/>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21AA"/>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2C1"/>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3777"/>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00D7"/>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400C"/>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942"/>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99F"/>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0324"/>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4E58"/>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07A"/>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3A3D"/>
    <w:rsid w:val="00C944FB"/>
    <w:rsid w:val="00C94646"/>
    <w:rsid w:val="00C97472"/>
    <w:rsid w:val="00C97D6A"/>
    <w:rsid w:val="00CA0442"/>
    <w:rsid w:val="00CA14CE"/>
    <w:rsid w:val="00CA3020"/>
    <w:rsid w:val="00CA41F2"/>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010"/>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304"/>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686D"/>
    <w:rsid w:val="00E7717D"/>
    <w:rsid w:val="00E80953"/>
    <w:rsid w:val="00E8177F"/>
    <w:rsid w:val="00E821F6"/>
    <w:rsid w:val="00E83960"/>
    <w:rsid w:val="00E843D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087D"/>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0F21"/>
    <w:rsid w:val="00FB17C7"/>
    <w:rsid w:val="00FB2A60"/>
    <w:rsid w:val="00FB6A01"/>
    <w:rsid w:val="00FC036E"/>
    <w:rsid w:val="00FC0C65"/>
    <w:rsid w:val="00FC13BE"/>
    <w:rsid w:val="00FC2319"/>
    <w:rsid w:val="00FC358D"/>
    <w:rsid w:val="00FC36BB"/>
    <w:rsid w:val="00FC47A9"/>
    <w:rsid w:val="00FC621B"/>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342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506DE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6DE8"/>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6651964">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7863279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4501206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360916">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FED7-F6BF-483A-B689-177BEF7D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2017-05-05T11:23:00Z</cp:lastPrinted>
  <dcterms:created xsi:type="dcterms:W3CDTF">2017-08-02T05:55:00Z</dcterms:created>
  <dcterms:modified xsi:type="dcterms:W3CDTF">2017-08-02T05:55:00Z</dcterms:modified>
</cp:coreProperties>
</file>