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C10ADB" w:rsidRDefault="005859D8" w:rsidP="00C10ADB">
      <w:pPr>
        <w:spacing w:after="0" w:line="240" w:lineRule="auto"/>
        <w:ind w:right="113"/>
        <w:rPr>
          <w:rFonts w:asciiTheme="minorHAnsi" w:hAnsiTheme="minorHAnsi" w:cstheme="minorHAnsi"/>
          <w:b/>
          <w:i/>
          <w:sz w:val="24"/>
          <w:szCs w:val="24"/>
        </w:rPr>
      </w:pPr>
      <w:r w:rsidRPr="00C10ADB">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ADB">
        <w:rPr>
          <w:rFonts w:asciiTheme="minorHAnsi" w:hAnsiTheme="minorHAnsi" w:cstheme="minorHAnsi"/>
          <w:b/>
          <w:i/>
          <w:sz w:val="24"/>
          <w:szCs w:val="24"/>
        </w:rPr>
        <w:t xml:space="preserve">UIT DIE PEN VAN DIE </w:t>
      </w:r>
      <w:r w:rsidRPr="00C10ADB">
        <w:rPr>
          <w:rFonts w:asciiTheme="minorHAnsi" w:hAnsiTheme="minorHAnsi" w:cstheme="minorHAnsi"/>
          <w:b/>
          <w:i/>
          <w:sz w:val="24"/>
          <w:szCs w:val="24"/>
        </w:rPr>
        <w:t>CEO (</w:t>
      </w:r>
      <w:r w:rsidR="00845165" w:rsidRPr="00C10ADB">
        <w:rPr>
          <w:rFonts w:asciiTheme="minorHAnsi" w:hAnsiTheme="minorHAnsi" w:cstheme="minorHAnsi"/>
          <w:b/>
          <w:i/>
          <w:sz w:val="24"/>
          <w:szCs w:val="24"/>
        </w:rPr>
        <w:t>23</w:t>
      </w:r>
      <w:r w:rsidR="00AD79A4" w:rsidRPr="00C10ADB">
        <w:rPr>
          <w:rFonts w:asciiTheme="minorHAnsi" w:hAnsiTheme="minorHAnsi" w:cstheme="minorHAnsi"/>
          <w:b/>
          <w:i/>
          <w:sz w:val="24"/>
          <w:szCs w:val="24"/>
        </w:rPr>
        <w:t>/21</w:t>
      </w:r>
      <w:r w:rsidRPr="00C10ADB">
        <w:rPr>
          <w:rFonts w:asciiTheme="minorHAnsi" w:hAnsiTheme="minorHAnsi" w:cstheme="minorHAnsi"/>
          <w:b/>
          <w:i/>
          <w:sz w:val="24"/>
          <w:szCs w:val="24"/>
        </w:rPr>
        <w:t>)</w:t>
      </w:r>
      <w:r w:rsidRPr="00C10ADB">
        <w:rPr>
          <w:rFonts w:asciiTheme="minorHAnsi" w:hAnsiTheme="minorHAnsi" w:cstheme="minorHAnsi"/>
          <w:noProof/>
          <w:sz w:val="24"/>
          <w:szCs w:val="24"/>
          <w:lang w:eastAsia="en-ZA"/>
        </w:rPr>
        <w:t xml:space="preserve"> </w:t>
      </w:r>
    </w:p>
    <w:p w:rsidR="005859D8" w:rsidRPr="00C10ADB" w:rsidRDefault="005859D8" w:rsidP="00C10ADB">
      <w:pPr>
        <w:spacing w:after="0" w:line="240" w:lineRule="auto"/>
        <w:ind w:right="113"/>
        <w:rPr>
          <w:rFonts w:asciiTheme="minorHAnsi" w:hAnsiTheme="minorHAnsi" w:cstheme="minorHAnsi"/>
          <w:b/>
          <w:color w:val="FF0000"/>
          <w:sz w:val="24"/>
          <w:szCs w:val="24"/>
        </w:rPr>
      </w:pPr>
      <w:r w:rsidRPr="00C10ADB">
        <w:rPr>
          <w:rFonts w:asciiTheme="minorHAnsi" w:hAnsiTheme="minorHAnsi" w:cstheme="minorHAnsi"/>
          <w:b/>
          <w:color w:val="FF0000"/>
          <w:sz w:val="24"/>
          <w:szCs w:val="24"/>
        </w:rPr>
        <w:t>(</w:t>
      </w:r>
      <w:r w:rsidR="00C10ADB">
        <w:rPr>
          <w:rFonts w:asciiTheme="minorHAnsi" w:hAnsiTheme="minorHAnsi" w:cstheme="minorHAnsi"/>
          <w:b/>
          <w:color w:val="FF0000"/>
          <w:sz w:val="24"/>
          <w:szCs w:val="24"/>
        </w:rPr>
        <w:t>Volg my op</w:t>
      </w:r>
      <w:r w:rsidRPr="00C10ADB">
        <w:rPr>
          <w:rFonts w:asciiTheme="minorHAnsi" w:hAnsiTheme="minorHAnsi" w:cstheme="minorHAnsi"/>
          <w:b/>
          <w:color w:val="FF0000"/>
          <w:sz w:val="24"/>
          <w:szCs w:val="24"/>
        </w:rPr>
        <w:t xml:space="preserve"> Twitter justchad_cga)</w:t>
      </w:r>
    </w:p>
    <w:p w:rsidR="00361403" w:rsidRPr="00C10ADB" w:rsidRDefault="00865EC5" w:rsidP="00A751D8">
      <w:pPr>
        <w:rPr>
          <w:rFonts w:asciiTheme="minorHAnsi" w:hAnsiTheme="minorHAnsi" w:cstheme="minorHAnsi"/>
          <w:i/>
          <w:sz w:val="24"/>
          <w:szCs w:val="24"/>
        </w:rPr>
      </w:pPr>
      <w:r w:rsidRPr="00C10ADB">
        <w:rPr>
          <w:rFonts w:asciiTheme="minorHAnsi" w:hAnsiTheme="minorHAnsi" w:cstheme="minorHAnsi"/>
          <w:i/>
          <w:sz w:val="24"/>
          <w:szCs w:val="24"/>
        </w:rPr>
        <w:t>Justin Chadwick 25</w:t>
      </w:r>
      <w:r w:rsidR="00FE65FE" w:rsidRPr="00C10ADB">
        <w:rPr>
          <w:rFonts w:asciiTheme="minorHAnsi" w:hAnsiTheme="minorHAnsi" w:cstheme="minorHAnsi"/>
          <w:i/>
          <w:sz w:val="24"/>
          <w:szCs w:val="24"/>
        </w:rPr>
        <w:t xml:space="preserve"> Jun</w:t>
      </w:r>
      <w:r w:rsidR="00C10ADB">
        <w:rPr>
          <w:rFonts w:asciiTheme="minorHAnsi" w:hAnsiTheme="minorHAnsi" w:cstheme="minorHAnsi"/>
          <w:i/>
          <w:sz w:val="24"/>
          <w:szCs w:val="24"/>
        </w:rPr>
        <w:t>i</w:t>
      </w:r>
      <w:r w:rsidR="00FE65FE" w:rsidRPr="00C10ADB">
        <w:rPr>
          <w:rFonts w:asciiTheme="minorHAnsi" w:hAnsiTheme="minorHAnsi" w:cstheme="minorHAnsi"/>
          <w:i/>
          <w:sz w:val="24"/>
          <w:szCs w:val="24"/>
        </w:rPr>
        <w:t>e</w:t>
      </w:r>
      <w:r w:rsidR="00AD79A4" w:rsidRPr="00C10ADB">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Default="00CE0436" w:rsidP="00380CC6">
            <w:pPr>
              <w:spacing w:after="0"/>
              <w:ind w:right="-329"/>
              <w:rPr>
                <w:rFonts w:asciiTheme="minorHAnsi" w:hAnsiTheme="minorHAnsi" w:cstheme="minorHAnsi"/>
                <w:b/>
                <w:i/>
                <w:color w:val="2D2D2D"/>
                <w:sz w:val="24"/>
                <w:szCs w:val="24"/>
                <w:shd w:val="clear" w:color="auto" w:fill="FFFFFF"/>
              </w:rPr>
            </w:pPr>
            <w:r w:rsidRPr="001E0236">
              <w:rPr>
                <w:rFonts w:asciiTheme="minorHAnsi" w:hAnsiTheme="minorHAnsi" w:cstheme="minorHAnsi"/>
                <w:b/>
                <w:i/>
                <w:color w:val="2D2D2D"/>
                <w:sz w:val="24"/>
                <w:szCs w:val="24"/>
                <w:shd w:val="clear" w:color="auto" w:fill="FFFFFF"/>
              </w:rPr>
              <w:t>“</w:t>
            </w:r>
            <w:r w:rsidR="007B53EE">
              <w:rPr>
                <w:rFonts w:asciiTheme="minorHAnsi" w:hAnsiTheme="minorHAnsi" w:cstheme="minorHAnsi"/>
                <w:b/>
                <w:i/>
                <w:color w:val="2D2D2D"/>
                <w:sz w:val="24"/>
                <w:szCs w:val="24"/>
                <w:shd w:val="clear" w:color="auto" w:fill="FFFFFF"/>
              </w:rPr>
              <w:t>The Chinese use two brush strokes to write the word ‘crisis’. One brush stroke stands for danger; the other for opportunity. In a crisis, be aware of the danger – but recognise the opportunity” John F Kennedy</w:t>
            </w:r>
          </w:p>
          <w:p w:rsidR="007B53EE" w:rsidRPr="001E0236" w:rsidRDefault="007B53EE" w:rsidP="00380CC6">
            <w:pPr>
              <w:spacing w:after="0"/>
              <w:ind w:right="-329"/>
              <w:rPr>
                <w:rFonts w:asciiTheme="minorHAnsi" w:hAnsiTheme="minorHAnsi" w:cstheme="minorHAnsi"/>
                <w:b/>
                <w:i/>
                <w:sz w:val="24"/>
                <w:szCs w:val="24"/>
                <w:lang w:val="en-US"/>
              </w:rPr>
            </w:pPr>
          </w:p>
        </w:tc>
      </w:tr>
    </w:tbl>
    <w:p w:rsidR="00C10ADB" w:rsidRPr="00C10ADB" w:rsidRDefault="00C10ADB" w:rsidP="00C10ADB">
      <w:pPr>
        <w:spacing w:after="0" w:line="240" w:lineRule="auto"/>
        <w:jc w:val="both"/>
        <w:rPr>
          <w:rFonts w:asciiTheme="minorHAnsi" w:eastAsiaTheme="minorHAnsi" w:hAnsiTheme="minorHAnsi" w:cstheme="minorBidi"/>
          <w:b/>
          <w:bCs/>
          <w:noProof/>
          <w:color w:val="7030A0"/>
          <w:u w:val="single"/>
          <w:lang w:val="af-ZA"/>
        </w:rPr>
      </w:pPr>
      <w:r w:rsidRPr="00C10ADB">
        <w:rPr>
          <w:rFonts w:asciiTheme="minorHAnsi" w:eastAsiaTheme="minorHAnsi" w:hAnsiTheme="minorHAnsi" w:cstheme="minorBidi"/>
          <w:b/>
          <w:bCs/>
          <w:noProof/>
          <w:color w:val="7030A0"/>
          <w:u w:val="single"/>
          <w:lang w:val="af-ZA"/>
        </w:rPr>
        <w:t>CHINA SUURLEMOENE</w:t>
      </w:r>
    </w:p>
    <w:p w:rsidR="00C10ADB" w:rsidRPr="000B54F6" w:rsidRDefault="00C10ADB" w:rsidP="0080215E">
      <w:pPr>
        <w:spacing w:after="0" w:line="240" w:lineRule="auto"/>
        <w:jc w:val="both"/>
        <w:rPr>
          <w:rFonts w:asciiTheme="minorHAnsi" w:eastAsiaTheme="minorHAnsi" w:hAnsiTheme="minorHAnsi" w:cstheme="minorBidi"/>
          <w:noProof/>
          <w:lang w:val="af-ZA"/>
        </w:rPr>
      </w:pPr>
      <w:r w:rsidRPr="000B54F6">
        <w:rPr>
          <w:rFonts w:asciiTheme="minorHAnsi" w:eastAsiaTheme="minorHAnsi" w:hAnsiTheme="minorHAnsi" w:cstheme="minorBidi"/>
          <w:noProof/>
          <w:lang w:val="af-ZA"/>
        </w:rPr>
        <w:t>Dit gebeur nie gereeld dat ek 'n pak aantrek om 'n virtuele vergadering by te woon nie, maar verlede Vrydag was dit een van daardie dae. Die 18de Junie 2021 sal vir altyd '</w:t>
      </w:r>
      <w:r w:rsidR="000B54F6" w:rsidRPr="000B54F6">
        <w:rPr>
          <w:rFonts w:asciiTheme="minorHAnsi" w:eastAsiaTheme="minorHAnsi" w:hAnsiTheme="minorHAnsi" w:cstheme="minorBidi"/>
          <w:noProof/>
          <w:lang w:val="af-ZA"/>
        </w:rPr>
        <w:t>n belangrike dag vir suurlemoen-</w:t>
      </w:r>
      <w:r w:rsidRPr="000B54F6">
        <w:rPr>
          <w:rFonts w:asciiTheme="minorHAnsi" w:eastAsiaTheme="minorHAnsi" w:hAnsiTheme="minorHAnsi" w:cstheme="minorBidi"/>
          <w:noProof/>
          <w:lang w:val="af-ZA"/>
        </w:rPr>
        <w:t xml:space="preserve">produsente in Suid-Afrika wees - want die oggend het Minister Didiza die hersiene sitrusprotokol onderteken. Die bedryf  het die eer gehad om die virtuele ondertekening by te woon </w:t>
      </w:r>
      <w:r w:rsidR="0080215E">
        <w:rPr>
          <w:rFonts w:asciiTheme="minorHAnsi" w:eastAsiaTheme="minorHAnsi" w:hAnsiTheme="minorHAnsi" w:cstheme="minorBidi"/>
          <w:noProof/>
          <w:lang w:val="af-ZA"/>
        </w:rPr>
        <w:t>–</w:t>
      </w:r>
      <w:r w:rsidRPr="000B54F6">
        <w:rPr>
          <w:rFonts w:asciiTheme="minorHAnsi" w:eastAsiaTheme="minorHAnsi" w:hAnsiTheme="minorHAnsi" w:cstheme="minorBidi"/>
          <w:noProof/>
          <w:lang w:val="af-ZA"/>
        </w:rPr>
        <w:t xml:space="preserve"> </w:t>
      </w:r>
      <w:r w:rsidR="0080215E">
        <w:rPr>
          <w:rFonts w:asciiTheme="minorHAnsi" w:eastAsiaTheme="minorHAnsi" w:hAnsiTheme="minorHAnsi" w:cstheme="minorBidi"/>
          <w:noProof/>
          <w:lang w:val="af-ZA"/>
        </w:rPr>
        <w:t>deur D</w:t>
      </w:r>
      <w:bookmarkStart w:id="0" w:name="_GoBack"/>
      <w:bookmarkEnd w:id="0"/>
      <w:r w:rsidRPr="000B54F6">
        <w:rPr>
          <w:rFonts w:asciiTheme="minorHAnsi" w:eastAsiaTheme="minorHAnsi" w:hAnsiTheme="minorHAnsi" w:cstheme="minorBidi"/>
          <w:noProof/>
          <w:lang w:val="af-ZA"/>
        </w:rPr>
        <w:t xml:space="preserve">r Mono Mashaba (Fruit SA) en </w:t>
      </w:r>
      <w:r w:rsidR="000B54F6" w:rsidRPr="000B54F6">
        <w:rPr>
          <w:rFonts w:asciiTheme="minorHAnsi" w:eastAsiaTheme="minorHAnsi" w:hAnsiTheme="minorHAnsi" w:cstheme="minorBidi"/>
          <w:noProof/>
          <w:lang w:val="af-ZA"/>
        </w:rPr>
        <w:t>myself.</w:t>
      </w:r>
      <w:r w:rsidRPr="000B54F6">
        <w:rPr>
          <w:rFonts w:asciiTheme="minorHAnsi" w:eastAsiaTheme="minorHAnsi" w:hAnsiTheme="minorHAnsi" w:cstheme="minorBidi"/>
          <w:noProof/>
          <w:lang w:val="af-ZA"/>
        </w:rPr>
        <w:t xml:space="preserve"> Die </w:t>
      </w:r>
      <w:r w:rsidR="000B54F6" w:rsidRPr="000B54F6">
        <w:rPr>
          <w:rFonts w:asciiTheme="minorHAnsi" w:eastAsiaTheme="minorHAnsi" w:hAnsiTheme="minorHAnsi" w:cstheme="minorBidi"/>
          <w:noProof/>
          <w:lang w:val="af-ZA"/>
        </w:rPr>
        <w:t>“</w:t>
      </w:r>
      <w:r w:rsidRPr="000B54F6">
        <w:rPr>
          <w:noProof/>
          <w:lang w:val="af-ZA"/>
        </w:rPr>
        <w:t>Peoples Republic of China</w:t>
      </w:r>
      <w:r w:rsidR="000B54F6" w:rsidRPr="000B54F6">
        <w:rPr>
          <w:noProof/>
          <w:lang w:val="af-ZA"/>
        </w:rPr>
        <w:t>”</w:t>
      </w:r>
      <w:r w:rsidRPr="000B54F6">
        <w:rPr>
          <w:rFonts w:asciiTheme="minorHAnsi" w:eastAsiaTheme="minorHAnsi" w:hAnsiTheme="minorHAnsi" w:cstheme="minorBidi"/>
          <w:noProof/>
          <w:lang w:val="af-ZA"/>
        </w:rPr>
        <w:t xml:space="preserve"> is deur Sy Eksellensie</w:t>
      </w:r>
      <w:r w:rsidR="000B54F6" w:rsidRPr="000B54F6">
        <w:rPr>
          <w:rFonts w:asciiTheme="minorHAnsi" w:eastAsiaTheme="minorHAnsi" w:hAnsiTheme="minorHAnsi" w:cstheme="minorBidi"/>
          <w:noProof/>
          <w:lang w:val="af-ZA"/>
        </w:rPr>
        <w:t>,</w:t>
      </w:r>
      <w:r w:rsidRPr="000B54F6">
        <w:rPr>
          <w:rFonts w:asciiTheme="minorHAnsi" w:eastAsiaTheme="minorHAnsi" w:hAnsiTheme="minorHAnsi" w:cstheme="minorBidi"/>
          <w:noProof/>
          <w:lang w:val="af-ZA"/>
        </w:rPr>
        <w:t xml:space="preserve"> Ambassadeur Chen</w:t>
      </w:r>
      <w:r w:rsidR="000B54F6" w:rsidRPr="000B54F6">
        <w:rPr>
          <w:rFonts w:asciiTheme="minorHAnsi" w:eastAsiaTheme="minorHAnsi" w:hAnsiTheme="minorHAnsi" w:cstheme="minorBidi"/>
          <w:noProof/>
          <w:lang w:val="af-ZA"/>
        </w:rPr>
        <w:t xml:space="preserve"> verteenwoordig</w:t>
      </w:r>
      <w:r w:rsidRPr="000B54F6">
        <w:rPr>
          <w:rFonts w:asciiTheme="minorHAnsi" w:eastAsiaTheme="minorHAnsi" w:hAnsiTheme="minorHAnsi" w:cstheme="minorBidi"/>
          <w:noProof/>
          <w:lang w:val="af-ZA"/>
        </w:rPr>
        <w:t>. Ambassadeur Chen het oor die belangrike handelsbande tussen die twee lande</w:t>
      </w:r>
      <w:r w:rsidR="000B54F6" w:rsidRPr="000B54F6">
        <w:rPr>
          <w:rFonts w:asciiTheme="minorHAnsi" w:eastAsiaTheme="minorHAnsi" w:hAnsiTheme="minorHAnsi" w:cstheme="minorBidi"/>
          <w:noProof/>
          <w:lang w:val="af-ZA"/>
        </w:rPr>
        <w:t xml:space="preserve"> gepraat</w:t>
      </w:r>
      <w:r w:rsidRPr="000B54F6">
        <w:rPr>
          <w:rFonts w:asciiTheme="minorHAnsi" w:eastAsiaTheme="minorHAnsi" w:hAnsiTheme="minorHAnsi" w:cstheme="minorBidi"/>
          <w:noProof/>
          <w:lang w:val="af-ZA"/>
        </w:rPr>
        <w:t>, en veral die belang van sitrushandel. Minister Didiza het bygevoeg dat daar baie ander belangrike bande tussen die twee lande bestaan. Die protokol sal nou deur die Minister in China onderteken word voordat dit in werking tree. Die hersiene sitrusprotokol het belangrike veranderings ten opsigte van die koue</w:t>
      </w:r>
      <w:r w:rsidR="000B54F6" w:rsidRPr="000B54F6">
        <w:rPr>
          <w:rFonts w:asciiTheme="minorHAnsi" w:eastAsiaTheme="minorHAnsi" w:hAnsiTheme="minorHAnsi" w:cstheme="minorBidi"/>
          <w:noProof/>
          <w:lang w:val="af-ZA"/>
        </w:rPr>
        <w:t>-</w:t>
      </w:r>
      <w:r w:rsidRPr="000B54F6">
        <w:rPr>
          <w:rFonts w:asciiTheme="minorHAnsi" w:eastAsiaTheme="minorHAnsi" w:hAnsiTheme="minorHAnsi" w:cstheme="minorBidi"/>
          <w:noProof/>
          <w:lang w:val="af-ZA"/>
        </w:rPr>
        <w:t xml:space="preserve"> behandeling van suurlemoene wat die weg vir suurlemoene tot die Chinese mark sal bied. Die vorige protokolle se koue</w:t>
      </w:r>
      <w:r w:rsidR="000B54F6" w:rsidRPr="000B54F6">
        <w:rPr>
          <w:rFonts w:asciiTheme="minorHAnsi" w:eastAsiaTheme="minorHAnsi" w:hAnsiTheme="minorHAnsi" w:cstheme="minorBidi"/>
          <w:noProof/>
          <w:lang w:val="af-ZA"/>
        </w:rPr>
        <w:t>-</w:t>
      </w:r>
      <w:r w:rsidRPr="000B54F6">
        <w:rPr>
          <w:rFonts w:asciiTheme="minorHAnsi" w:eastAsiaTheme="minorHAnsi" w:hAnsiTheme="minorHAnsi" w:cstheme="minorBidi"/>
          <w:noProof/>
          <w:lang w:val="af-ZA"/>
        </w:rPr>
        <w:t xml:space="preserve">behandeling het in wese die uitvoer van suurlemoene na China uitgesluit, aangesien </w:t>
      </w:r>
      <w:r w:rsidR="000B54F6" w:rsidRPr="000B54F6">
        <w:rPr>
          <w:lang w:val="af-ZA"/>
        </w:rPr>
        <w:t>die risiko van koueskade vir suurlemoene te groot was.</w:t>
      </w:r>
      <w:r w:rsidR="000B54F6">
        <w:rPr>
          <w:lang w:val="af-ZA"/>
        </w:rPr>
        <w:t xml:space="preserve"> </w:t>
      </w:r>
    </w:p>
    <w:p w:rsidR="00C10ADB" w:rsidRPr="000B54F6" w:rsidRDefault="00C10ADB" w:rsidP="000B54F6">
      <w:pPr>
        <w:spacing w:after="0" w:line="240" w:lineRule="auto"/>
        <w:jc w:val="both"/>
        <w:rPr>
          <w:rFonts w:asciiTheme="minorHAnsi" w:eastAsiaTheme="minorHAnsi" w:hAnsiTheme="minorHAnsi" w:cstheme="minorBidi"/>
          <w:noProof/>
          <w:lang w:val="af-ZA"/>
        </w:rPr>
      </w:pPr>
      <w:r w:rsidRPr="000B54F6">
        <w:rPr>
          <w:rFonts w:asciiTheme="minorHAnsi" w:eastAsiaTheme="minorHAnsi" w:hAnsiTheme="minorHAnsi" w:cstheme="minorBidi"/>
          <w:noProof/>
          <w:lang w:val="af-ZA"/>
        </w:rPr>
        <w:t xml:space="preserve">China het 'n </w:t>
      </w:r>
      <w:r w:rsidR="000B54F6">
        <w:rPr>
          <w:rFonts w:asciiTheme="minorHAnsi" w:eastAsiaTheme="minorHAnsi" w:hAnsiTheme="minorHAnsi" w:cstheme="minorBidi"/>
          <w:noProof/>
          <w:lang w:val="af-ZA"/>
        </w:rPr>
        <w:t xml:space="preserve">belangrike </w:t>
      </w:r>
      <w:r w:rsidRPr="000B54F6">
        <w:rPr>
          <w:rFonts w:asciiTheme="minorHAnsi" w:eastAsiaTheme="minorHAnsi" w:hAnsiTheme="minorHAnsi" w:cstheme="minorBidi"/>
          <w:noProof/>
          <w:lang w:val="af-ZA"/>
        </w:rPr>
        <w:t>invoerder van Suid-Afrikaanse sitrus geword - in 2020 is meer as 130 000 ton sitrus na China uitgevoer (6% van die totale uitvoer). Suurlemoene sal nou die sitrusmandjie volmaak wat aan Chinese verbruikers gebied kan word.</w:t>
      </w:r>
    </w:p>
    <w:p w:rsidR="007B53EE" w:rsidRPr="006B4387" w:rsidRDefault="007B53EE" w:rsidP="00943C66">
      <w:pPr>
        <w:spacing w:after="0"/>
        <w:rPr>
          <w:sz w:val="24"/>
          <w:szCs w:val="24"/>
        </w:rPr>
      </w:pPr>
      <w:r>
        <w:rPr>
          <w:noProof/>
          <w:lang w:val="en-US"/>
        </w:rPr>
        <w:drawing>
          <wp:inline distT="0" distB="0" distL="0" distR="0" wp14:anchorId="75178B8E" wp14:editId="2DAEFA2E">
            <wp:extent cx="5212702" cy="2525395"/>
            <wp:effectExtent l="0" t="0" r="762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58E6" w:rsidRPr="002258E6" w:rsidRDefault="002258E6" w:rsidP="002258E6">
      <w:pPr>
        <w:spacing w:after="0"/>
        <w:rPr>
          <w:rFonts w:asciiTheme="minorHAnsi" w:eastAsia="Times New Roman" w:hAnsiTheme="minorHAnsi" w:cstheme="minorHAnsi"/>
          <w:b/>
          <w:bCs/>
          <w:noProof/>
          <w:color w:val="7030A0"/>
          <w:sz w:val="24"/>
          <w:szCs w:val="24"/>
          <w:u w:val="single"/>
          <w:lang w:val="af-ZA"/>
        </w:rPr>
      </w:pPr>
      <w:r w:rsidRPr="002258E6">
        <w:rPr>
          <w:rFonts w:asciiTheme="minorHAnsi" w:eastAsia="Times New Roman" w:hAnsiTheme="minorHAnsi" w:cstheme="minorHAnsi"/>
          <w:b/>
          <w:bCs/>
          <w:noProof/>
          <w:color w:val="7030A0"/>
          <w:sz w:val="24"/>
          <w:szCs w:val="24"/>
          <w:u w:val="single"/>
          <w:lang w:val="af-ZA"/>
        </w:rPr>
        <w:t>GEPAK EN VERSKEEP</w:t>
      </w:r>
    </w:p>
    <w:p w:rsidR="002258E6" w:rsidRPr="002258E6" w:rsidRDefault="002258E6" w:rsidP="00DE0A90">
      <w:pPr>
        <w:spacing w:after="0" w:line="240" w:lineRule="auto"/>
        <w:jc w:val="both"/>
        <w:rPr>
          <w:rFonts w:asciiTheme="minorHAnsi" w:eastAsia="Times New Roman" w:hAnsiTheme="minorHAnsi" w:cstheme="minorHAnsi"/>
          <w:noProof/>
          <w:sz w:val="24"/>
          <w:szCs w:val="24"/>
          <w:lang w:val="af-ZA"/>
        </w:rPr>
      </w:pPr>
      <w:r w:rsidRPr="002258E6">
        <w:rPr>
          <w:rFonts w:asciiTheme="minorHAnsi" w:eastAsia="Times New Roman" w:hAnsiTheme="minorHAnsi" w:cstheme="minorHAnsi"/>
          <w:noProof/>
          <w:sz w:val="24"/>
          <w:szCs w:val="24"/>
          <w:lang w:val="af-ZA"/>
        </w:rPr>
        <w:t>Die Pomelo Fokusgroep het hul voorspelling aangepas - terug na die oorspronklike skatting. Let daarop dat die pomelo</w:t>
      </w:r>
      <w:r w:rsidR="00516DD0">
        <w:rPr>
          <w:rFonts w:asciiTheme="minorHAnsi" w:eastAsia="Times New Roman" w:hAnsiTheme="minorHAnsi" w:cstheme="minorHAnsi"/>
          <w:noProof/>
          <w:sz w:val="24"/>
          <w:szCs w:val="24"/>
          <w:lang w:val="af-ZA"/>
        </w:rPr>
        <w:t>-</w:t>
      </w:r>
      <w:r w:rsidRPr="002258E6">
        <w:rPr>
          <w:rFonts w:asciiTheme="minorHAnsi" w:eastAsia="Times New Roman" w:hAnsiTheme="minorHAnsi" w:cstheme="minorHAnsi"/>
          <w:noProof/>
          <w:sz w:val="24"/>
          <w:szCs w:val="24"/>
          <w:lang w:val="af-ZA"/>
        </w:rPr>
        <w:t>syfers in die tabel 15 kg-ekwivalente is (pomelo</w:t>
      </w:r>
      <w:r w:rsidR="00DE0A90">
        <w:rPr>
          <w:rFonts w:asciiTheme="minorHAnsi" w:eastAsia="Times New Roman" w:hAnsiTheme="minorHAnsi" w:cstheme="minorHAnsi"/>
          <w:noProof/>
          <w:sz w:val="24"/>
          <w:szCs w:val="24"/>
          <w:lang w:val="af-ZA"/>
        </w:rPr>
        <w:t xml:space="preserve">’s se populêre karton is die </w:t>
      </w:r>
      <w:r w:rsidRPr="002258E6">
        <w:rPr>
          <w:rFonts w:asciiTheme="minorHAnsi" w:eastAsia="Times New Roman" w:hAnsiTheme="minorHAnsi" w:cstheme="minorHAnsi"/>
          <w:noProof/>
          <w:sz w:val="24"/>
          <w:szCs w:val="24"/>
          <w:lang w:val="af-ZA"/>
        </w:rPr>
        <w:t>17 kg</w:t>
      </w:r>
      <w:r w:rsidR="00DE0A90">
        <w:rPr>
          <w:rFonts w:asciiTheme="minorHAnsi" w:eastAsia="Times New Roman" w:hAnsiTheme="minorHAnsi" w:cstheme="minorHAnsi"/>
          <w:noProof/>
          <w:sz w:val="24"/>
          <w:szCs w:val="24"/>
          <w:lang w:val="af-ZA"/>
        </w:rPr>
        <w:t>-ekwivalent</w:t>
      </w:r>
      <w:r w:rsidRPr="002258E6">
        <w:rPr>
          <w:rFonts w:asciiTheme="minorHAnsi" w:eastAsia="Times New Roman" w:hAnsiTheme="minorHAnsi" w:cstheme="minorHAnsi"/>
          <w:noProof/>
          <w:sz w:val="24"/>
          <w:szCs w:val="24"/>
          <w:lang w:val="af-ZA"/>
        </w:rPr>
        <w:t>).</w:t>
      </w:r>
    </w:p>
    <w:p w:rsidR="00845165" w:rsidRPr="00845165" w:rsidRDefault="00845165" w:rsidP="008A5702">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 </w:t>
      </w:r>
    </w:p>
    <w:tbl>
      <w:tblPr>
        <w:tblpPr w:leftFromText="180" w:rightFromText="180" w:vertAnchor="text" w:horzAnchor="margin" w:tblpX="-176" w:tblpY="20"/>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7"/>
        <w:gridCol w:w="968"/>
        <w:gridCol w:w="985"/>
        <w:gridCol w:w="1034"/>
        <w:gridCol w:w="1263"/>
        <w:gridCol w:w="977"/>
        <w:gridCol w:w="1361"/>
        <w:gridCol w:w="1526"/>
        <w:gridCol w:w="1004"/>
      </w:tblGrid>
      <w:tr w:rsidR="002258E6" w:rsidRPr="002258E6" w:rsidTr="002258E6">
        <w:trPr>
          <w:trHeight w:val="401"/>
        </w:trPr>
        <w:tc>
          <w:tcPr>
            <w:tcW w:w="1727" w:type="dxa"/>
          </w:tcPr>
          <w:p w:rsidR="00735272" w:rsidRPr="002258E6" w:rsidRDefault="00735272" w:rsidP="002258E6">
            <w:pPr>
              <w:spacing w:after="0" w:line="240" w:lineRule="auto"/>
              <w:rPr>
                <w:rFonts w:ascii="Arial" w:hAnsi="Arial" w:cs="Arial"/>
                <w:noProof/>
                <w:sz w:val="18"/>
                <w:szCs w:val="18"/>
                <w:lang w:val="af-ZA"/>
              </w:rPr>
            </w:pPr>
            <w:r w:rsidRPr="002258E6">
              <w:rPr>
                <w:rFonts w:ascii="Arial" w:hAnsi="Arial" w:cs="Arial"/>
                <w:noProof/>
                <w:sz w:val="18"/>
                <w:szCs w:val="18"/>
                <w:lang w:val="af-ZA"/>
              </w:rPr>
              <w:t>E</w:t>
            </w:r>
            <w:r w:rsidR="002258E6">
              <w:rPr>
                <w:rFonts w:ascii="Arial" w:hAnsi="Arial" w:cs="Arial"/>
                <w:noProof/>
                <w:sz w:val="18"/>
                <w:szCs w:val="18"/>
                <w:lang w:val="af-ZA"/>
              </w:rPr>
              <w:t>i</w:t>
            </w:r>
            <w:r w:rsidRPr="002258E6">
              <w:rPr>
                <w:rFonts w:ascii="Arial" w:hAnsi="Arial" w:cs="Arial"/>
                <w:noProof/>
                <w:sz w:val="18"/>
                <w:szCs w:val="18"/>
                <w:lang w:val="af-ZA"/>
              </w:rPr>
              <w:t>nd</w:t>
            </w:r>
            <w:r w:rsidR="002258E6">
              <w:rPr>
                <w:rFonts w:ascii="Arial" w:hAnsi="Arial" w:cs="Arial"/>
                <w:noProof/>
                <w:sz w:val="18"/>
                <w:szCs w:val="18"/>
                <w:lang w:val="af-ZA"/>
              </w:rPr>
              <w:t xml:space="preserve">e van </w:t>
            </w:r>
            <w:r w:rsidRPr="002258E6">
              <w:rPr>
                <w:rFonts w:ascii="Arial" w:hAnsi="Arial" w:cs="Arial"/>
                <w:noProof/>
                <w:sz w:val="18"/>
                <w:szCs w:val="18"/>
                <w:lang w:val="af-ZA"/>
              </w:rPr>
              <w:t>Week 24</w:t>
            </w:r>
          </w:p>
          <w:p w:rsidR="00735272" w:rsidRPr="002258E6" w:rsidRDefault="00735272" w:rsidP="002258E6">
            <w:pPr>
              <w:spacing w:after="0" w:line="240" w:lineRule="auto"/>
              <w:rPr>
                <w:rFonts w:ascii="Arial" w:hAnsi="Arial" w:cs="Arial"/>
                <w:noProof/>
                <w:sz w:val="18"/>
                <w:szCs w:val="18"/>
                <w:lang w:val="af-ZA"/>
              </w:rPr>
            </w:pPr>
            <w:r w:rsidRPr="002258E6">
              <w:rPr>
                <w:rFonts w:ascii="Arial" w:hAnsi="Arial" w:cs="Arial"/>
                <w:noProof/>
                <w:sz w:val="18"/>
                <w:szCs w:val="18"/>
                <w:lang w:val="af-ZA"/>
              </w:rPr>
              <w:t>M</w:t>
            </w:r>
            <w:r w:rsidR="002258E6">
              <w:rPr>
                <w:rFonts w:ascii="Arial" w:hAnsi="Arial" w:cs="Arial"/>
                <w:noProof/>
                <w:sz w:val="18"/>
                <w:szCs w:val="18"/>
                <w:lang w:val="af-ZA"/>
              </w:rPr>
              <w:t xml:space="preserve">iljoen </w:t>
            </w:r>
            <w:r w:rsidRPr="002258E6">
              <w:rPr>
                <w:rFonts w:ascii="Arial" w:hAnsi="Arial" w:cs="Arial"/>
                <w:noProof/>
                <w:sz w:val="18"/>
                <w:szCs w:val="18"/>
                <w:lang w:val="af-ZA"/>
              </w:rPr>
              <w:t xml:space="preserve">15 Kg </w:t>
            </w:r>
            <w:r w:rsidR="002258E6">
              <w:rPr>
                <w:rFonts w:ascii="Arial" w:hAnsi="Arial" w:cs="Arial"/>
                <w:noProof/>
                <w:sz w:val="18"/>
                <w:szCs w:val="18"/>
                <w:lang w:val="af-ZA"/>
              </w:rPr>
              <w:t>Kartonne</w:t>
            </w:r>
          </w:p>
        </w:tc>
        <w:tc>
          <w:tcPr>
            <w:tcW w:w="968" w:type="dxa"/>
            <w:shd w:val="clear" w:color="auto" w:fill="CCCCCC"/>
          </w:tcPr>
          <w:p w:rsidR="00735272" w:rsidRPr="002258E6" w:rsidRDefault="002258E6" w:rsidP="002258E6">
            <w:pPr>
              <w:spacing w:after="0" w:line="240" w:lineRule="auto"/>
              <w:jc w:val="right"/>
              <w:rPr>
                <w:rFonts w:ascii="Arial" w:hAnsi="Arial" w:cs="Arial"/>
                <w:noProof/>
                <w:sz w:val="18"/>
                <w:szCs w:val="18"/>
                <w:lang w:val="af-ZA"/>
              </w:rPr>
            </w:pPr>
            <w:r>
              <w:rPr>
                <w:rFonts w:ascii="Arial" w:hAnsi="Arial" w:cs="Arial"/>
                <w:noProof/>
                <w:sz w:val="18"/>
                <w:szCs w:val="18"/>
                <w:lang w:val="af-ZA"/>
              </w:rPr>
              <w:t xml:space="preserve">Gepak </w:t>
            </w:r>
          </w:p>
        </w:tc>
        <w:tc>
          <w:tcPr>
            <w:tcW w:w="985" w:type="dxa"/>
            <w:tcBorders>
              <w:right w:val="thinThickSmallGap" w:sz="24" w:space="0" w:color="auto"/>
            </w:tcBorders>
            <w:shd w:val="clear" w:color="auto" w:fill="CCCCCC"/>
          </w:tcPr>
          <w:p w:rsidR="00735272" w:rsidRPr="002258E6" w:rsidRDefault="002258E6" w:rsidP="002258E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34"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735272" w:rsidRPr="002258E6" w:rsidRDefault="002258E6" w:rsidP="002258E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263" w:type="dxa"/>
            <w:tcBorders>
              <w:left w:val="thinThickSmallGap" w:sz="24" w:space="0" w:color="auto"/>
              <w:right w:val="thinThickSmallGap" w:sz="24" w:space="0" w:color="auto"/>
            </w:tcBorders>
            <w:shd w:val="clear" w:color="auto" w:fill="E6E6E6"/>
          </w:tcPr>
          <w:p w:rsidR="00735272" w:rsidRPr="002258E6" w:rsidRDefault="002258E6" w:rsidP="002258E6">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77" w:type="dxa"/>
            <w:tcBorders>
              <w:top w:val="thinThickSmallGap" w:sz="24" w:space="0" w:color="auto"/>
              <w:left w:val="thinThickSmallGap" w:sz="24" w:space="0" w:color="auto"/>
              <w:right w:val="thinThickSmallGap" w:sz="24" w:space="0" w:color="auto"/>
            </w:tcBorders>
            <w:shd w:val="clear" w:color="auto" w:fill="E6E6E6"/>
          </w:tcPr>
          <w:p w:rsidR="00735272" w:rsidRPr="002258E6" w:rsidRDefault="002258E6" w:rsidP="002258E6">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361" w:type="dxa"/>
            <w:tcBorders>
              <w:left w:val="thinThickSmallGap" w:sz="24" w:space="0" w:color="auto"/>
            </w:tcBorders>
            <w:shd w:val="clear" w:color="auto" w:fill="E6E6E6"/>
          </w:tcPr>
          <w:p w:rsidR="00735272" w:rsidRPr="002258E6" w:rsidRDefault="002258E6" w:rsidP="002258E6">
            <w:pPr>
              <w:spacing w:after="0" w:line="240" w:lineRule="auto"/>
              <w:jc w:val="right"/>
              <w:rPr>
                <w:rFonts w:ascii="Arial" w:hAnsi="Arial" w:cs="Arial"/>
                <w:noProof/>
                <w:sz w:val="18"/>
                <w:szCs w:val="18"/>
                <w:lang w:val="af-ZA"/>
              </w:rPr>
            </w:pPr>
            <w:r>
              <w:rPr>
                <w:rFonts w:ascii="Arial" w:hAnsi="Arial" w:cs="Arial"/>
                <w:noProof/>
                <w:sz w:val="18"/>
                <w:szCs w:val="18"/>
                <w:lang w:val="af-ZA"/>
              </w:rPr>
              <w:t>Oorspronklike Skatting</w:t>
            </w:r>
          </w:p>
        </w:tc>
        <w:tc>
          <w:tcPr>
            <w:tcW w:w="0" w:type="auto"/>
            <w:shd w:val="clear" w:color="auto" w:fill="E6E6E6"/>
          </w:tcPr>
          <w:p w:rsidR="00735272" w:rsidRPr="002258E6" w:rsidRDefault="002258E6" w:rsidP="002258E6">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rsidR="00735272" w:rsidRPr="002258E6" w:rsidRDefault="00735272" w:rsidP="002258E6">
            <w:pPr>
              <w:spacing w:after="0" w:line="240" w:lineRule="auto"/>
              <w:jc w:val="right"/>
              <w:rPr>
                <w:rFonts w:ascii="Arial" w:hAnsi="Arial" w:cs="Arial"/>
                <w:noProof/>
                <w:sz w:val="18"/>
                <w:szCs w:val="18"/>
                <w:lang w:val="af-ZA"/>
              </w:rPr>
            </w:pPr>
            <w:r w:rsidRPr="002258E6">
              <w:rPr>
                <w:rFonts w:ascii="Arial" w:hAnsi="Arial" w:cs="Arial"/>
                <w:noProof/>
                <w:sz w:val="18"/>
                <w:szCs w:val="18"/>
                <w:lang w:val="af-ZA"/>
              </w:rPr>
              <w:t>Fin</w:t>
            </w:r>
            <w:r w:rsidR="002258E6">
              <w:rPr>
                <w:rFonts w:ascii="Arial" w:hAnsi="Arial" w:cs="Arial"/>
                <w:noProof/>
                <w:sz w:val="18"/>
                <w:szCs w:val="18"/>
                <w:lang w:val="af-ZA"/>
              </w:rPr>
              <w:t>a</w:t>
            </w:r>
            <w:r w:rsidRPr="002258E6">
              <w:rPr>
                <w:rFonts w:ascii="Arial" w:hAnsi="Arial" w:cs="Arial"/>
                <w:noProof/>
                <w:sz w:val="18"/>
                <w:szCs w:val="18"/>
                <w:lang w:val="af-ZA"/>
              </w:rPr>
              <w:t xml:space="preserve">al </w:t>
            </w:r>
            <w:r w:rsidR="002258E6">
              <w:rPr>
                <w:rFonts w:ascii="Arial" w:hAnsi="Arial" w:cs="Arial"/>
                <w:noProof/>
                <w:sz w:val="18"/>
                <w:szCs w:val="18"/>
                <w:lang w:val="af-ZA"/>
              </w:rPr>
              <w:t>Gepak</w:t>
            </w:r>
          </w:p>
          <w:p w:rsidR="00735272" w:rsidRPr="002258E6" w:rsidRDefault="00735272" w:rsidP="005032FF">
            <w:pPr>
              <w:spacing w:after="0" w:line="240" w:lineRule="auto"/>
              <w:jc w:val="right"/>
              <w:rPr>
                <w:rFonts w:ascii="Arial" w:hAnsi="Arial" w:cs="Arial"/>
                <w:noProof/>
                <w:sz w:val="18"/>
                <w:szCs w:val="18"/>
                <w:lang w:val="af-ZA"/>
              </w:rPr>
            </w:pPr>
          </w:p>
        </w:tc>
      </w:tr>
      <w:tr w:rsidR="002258E6" w:rsidRPr="002258E6" w:rsidTr="002258E6">
        <w:trPr>
          <w:trHeight w:val="200"/>
        </w:trPr>
        <w:tc>
          <w:tcPr>
            <w:tcW w:w="1727" w:type="dxa"/>
          </w:tcPr>
          <w:p w:rsidR="00735272" w:rsidRPr="002258E6" w:rsidRDefault="002258E6" w:rsidP="002258E6">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735272" w:rsidRPr="002258E6">
              <w:rPr>
                <w:rFonts w:ascii="Arial" w:hAnsi="Arial" w:cs="Arial"/>
                <w:b/>
                <w:noProof/>
                <w:sz w:val="18"/>
                <w:szCs w:val="18"/>
                <w:lang w:val="af-ZA"/>
              </w:rPr>
              <w:t>: PPECB/AGRIHUB</w:t>
            </w:r>
          </w:p>
        </w:tc>
        <w:tc>
          <w:tcPr>
            <w:tcW w:w="968" w:type="dxa"/>
            <w:shd w:val="clear" w:color="auto" w:fill="CCCCCC"/>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2019</w:t>
            </w:r>
          </w:p>
        </w:tc>
        <w:tc>
          <w:tcPr>
            <w:tcW w:w="985" w:type="dxa"/>
            <w:tcBorders>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2020</w:t>
            </w:r>
          </w:p>
        </w:tc>
        <w:tc>
          <w:tcPr>
            <w:tcW w:w="1034" w:type="dxa"/>
            <w:tcBorders>
              <w:top w:val="single" w:sz="4" w:space="0" w:color="auto"/>
              <w:left w:val="thinThickSmallGap" w:sz="24" w:space="0" w:color="auto"/>
              <w:bottom w:val="single" w:sz="4" w:space="0" w:color="auto"/>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2021</w:t>
            </w:r>
          </w:p>
        </w:tc>
        <w:tc>
          <w:tcPr>
            <w:tcW w:w="1263"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2020</w:t>
            </w:r>
          </w:p>
        </w:tc>
        <w:tc>
          <w:tcPr>
            <w:tcW w:w="977"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2021</w:t>
            </w:r>
          </w:p>
        </w:tc>
        <w:tc>
          <w:tcPr>
            <w:tcW w:w="1361" w:type="dxa"/>
            <w:tcBorders>
              <w:lef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2021</w:t>
            </w:r>
          </w:p>
        </w:tc>
        <w:tc>
          <w:tcPr>
            <w:tcW w:w="0" w:type="auto"/>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2021</w:t>
            </w:r>
          </w:p>
        </w:tc>
        <w:tc>
          <w:tcPr>
            <w:tcW w:w="0" w:type="auto"/>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2020</w:t>
            </w:r>
          </w:p>
        </w:tc>
      </w:tr>
      <w:tr w:rsidR="002258E6" w:rsidRPr="002258E6" w:rsidTr="002258E6">
        <w:trPr>
          <w:trHeight w:val="214"/>
        </w:trPr>
        <w:tc>
          <w:tcPr>
            <w:tcW w:w="1727" w:type="dxa"/>
          </w:tcPr>
          <w:p w:rsidR="00735272" w:rsidRPr="002258E6" w:rsidRDefault="002258E6" w:rsidP="002258E6">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68" w:type="dxa"/>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12 m</w:t>
            </w:r>
          </w:p>
        </w:tc>
        <w:tc>
          <w:tcPr>
            <w:tcW w:w="985" w:type="dxa"/>
            <w:tcBorders>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11.3 m</w:t>
            </w:r>
          </w:p>
        </w:tc>
        <w:tc>
          <w:tcPr>
            <w:tcW w:w="1034" w:type="dxa"/>
            <w:tcBorders>
              <w:top w:val="single" w:sz="4" w:space="0" w:color="auto"/>
              <w:left w:val="thinThickSmallGap" w:sz="24" w:space="0" w:color="auto"/>
              <w:bottom w:val="single" w:sz="4" w:space="0" w:color="auto"/>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13 m</w:t>
            </w:r>
          </w:p>
        </w:tc>
        <w:tc>
          <w:tcPr>
            <w:tcW w:w="1263"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8.7 m</w:t>
            </w:r>
          </w:p>
        </w:tc>
        <w:tc>
          <w:tcPr>
            <w:tcW w:w="977"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10.9 m</w:t>
            </w:r>
          </w:p>
        </w:tc>
        <w:tc>
          <w:tcPr>
            <w:tcW w:w="1361" w:type="dxa"/>
            <w:tcBorders>
              <w:lef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18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17.5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15.5 m</w:t>
            </w:r>
          </w:p>
        </w:tc>
      </w:tr>
      <w:tr w:rsidR="002258E6" w:rsidRPr="002258E6" w:rsidTr="002258E6">
        <w:trPr>
          <w:trHeight w:val="200"/>
        </w:trPr>
        <w:tc>
          <w:tcPr>
            <w:tcW w:w="1727" w:type="dxa"/>
          </w:tcPr>
          <w:p w:rsidR="00735272" w:rsidRPr="002258E6" w:rsidRDefault="00735272" w:rsidP="002258E6">
            <w:pPr>
              <w:spacing w:after="0" w:line="240" w:lineRule="auto"/>
              <w:rPr>
                <w:rFonts w:ascii="Arial" w:hAnsi="Arial" w:cs="Arial"/>
                <w:noProof/>
                <w:sz w:val="18"/>
                <w:szCs w:val="18"/>
                <w:lang w:val="af-ZA"/>
              </w:rPr>
            </w:pPr>
            <w:r w:rsidRPr="002258E6">
              <w:rPr>
                <w:rFonts w:ascii="Arial" w:hAnsi="Arial" w:cs="Arial"/>
                <w:noProof/>
                <w:sz w:val="18"/>
                <w:szCs w:val="18"/>
                <w:lang w:val="af-ZA"/>
              </w:rPr>
              <w:t>S</w:t>
            </w:r>
            <w:r w:rsidR="002258E6">
              <w:rPr>
                <w:rFonts w:ascii="Arial" w:hAnsi="Arial" w:cs="Arial"/>
                <w:noProof/>
                <w:sz w:val="18"/>
                <w:szCs w:val="18"/>
                <w:lang w:val="af-ZA"/>
              </w:rPr>
              <w:t>agte Sitrus</w:t>
            </w:r>
          </w:p>
        </w:tc>
        <w:tc>
          <w:tcPr>
            <w:tcW w:w="968" w:type="dxa"/>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7.6 m</w:t>
            </w:r>
          </w:p>
        </w:tc>
        <w:tc>
          <w:tcPr>
            <w:tcW w:w="985" w:type="dxa"/>
            <w:tcBorders>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10.2 m</w:t>
            </w:r>
          </w:p>
        </w:tc>
        <w:tc>
          <w:tcPr>
            <w:tcW w:w="1034" w:type="dxa"/>
            <w:tcBorders>
              <w:top w:val="single" w:sz="4" w:space="0" w:color="auto"/>
              <w:left w:val="thinThickSmallGap" w:sz="24" w:space="0" w:color="auto"/>
              <w:bottom w:val="single" w:sz="4" w:space="0" w:color="auto"/>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15.6 m</w:t>
            </w:r>
          </w:p>
        </w:tc>
        <w:tc>
          <w:tcPr>
            <w:tcW w:w="1263"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7.3 m</w:t>
            </w:r>
          </w:p>
        </w:tc>
        <w:tc>
          <w:tcPr>
            <w:tcW w:w="977"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8.9 m</w:t>
            </w:r>
          </w:p>
        </w:tc>
        <w:tc>
          <w:tcPr>
            <w:tcW w:w="1361" w:type="dxa"/>
            <w:tcBorders>
              <w:lef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30.5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29.2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23.6 m</w:t>
            </w:r>
          </w:p>
        </w:tc>
      </w:tr>
      <w:tr w:rsidR="002258E6" w:rsidRPr="002258E6" w:rsidTr="002258E6">
        <w:trPr>
          <w:trHeight w:val="180"/>
        </w:trPr>
        <w:tc>
          <w:tcPr>
            <w:tcW w:w="1727" w:type="dxa"/>
          </w:tcPr>
          <w:p w:rsidR="00735272" w:rsidRPr="002258E6" w:rsidRDefault="002258E6" w:rsidP="002258E6">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68" w:type="dxa"/>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11.5 m</w:t>
            </w:r>
          </w:p>
        </w:tc>
        <w:tc>
          <w:tcPr>
            <w:tcW w:w="985" w:type="dxa"/>
            <w:tcBorders>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18.1 m</w:t>
            </w:r>
          </w:p>
        </w:tc>
        <w:tc>
          <w:tcPr>
            <w:tcW w:w="1034" w:type="dxa"/>
            <w:tcBorders>
              <w:top w:val="single" w:sz="4" w:space="0" w:color="auto"/>
              <w:left w:val="thinThickSmallGap" w:sz="24" w:space="0" w:color="auto"/>
              <w:bottom w:val="single" w:sz="4" w:space="0" w:color="auto"/>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17.4 m</w:t>
            </w:r>
          </w:p>
        </w:tc>
        <w:tc>
          <w:tcPr>
            <w:tcW w:w="1263"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15.4 m</w:t>
            </w:r>
          </w:p>
        </w:tc>
        <w:tc>
          <w:tcPr>
            <w:tcW w:w="977"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15.2 m</w:t>
            </w:r>
          </w:p>
        </w:tc>
        <w:tc>
          <w:tcPr>
            <w:tcW w:w="1361" w:type="dxa"/>
            <w:tcBorders>
              <w:lef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30.2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29.2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29.6 m</w:t>
            </w:r>
          </w:p>
        </w:tc>
      </w:tr>
      <w:tr w:rsidR="002258E6" w:rsidRPr="002258E6" w:rsidTr="002258E6">
        <w:trPr>
          <w:trHeight w:val="200"/>
        </w:trPr>
        <w:tc>
          <w:tcPr>
            <w:tcW w:w="1727" w:type="dxa"/>
          </w:tcPr>
          <w:p w:rsidR="00735272" w:rsidRPr="002258E6" w:rsidRDefault="00735272" w:rsidP="002258E6">
            <w:pPr>
              <w:spacing w:after="0" w:line="240" w:lineRule="auto"/>
              <w:rPr>
                <w:rFonts w:ascii="Arial" w:hAnsi="Arial" w:cs="Arial"/>
                <w:noProof/>
                <w:sz w:val="18"/>
                <w:szCs w:val="18"/>
                <w:lang w:val="af-ZA"/>
              </w:rPr>
            </w:pPr>
            <w:r w:rsidRPr="002258E6">
              <w:rPr>
                <w:rFonts w:ascii="Arial" w:hAnsi="Arial" w:cs="Arial"/>
                <w:noProof/>
                <w:sz w:val="18"/>
                <w:szCs w:val="18"/>
                <w:lang w:val="af-ZA"/>
              </w:rPr>
              <w:t>Na</w:t>
            </w:r>
            <w:r w:rsidR="002258E6">
              <w:rPr>
                <w:rFonts w:ascii="Arial" w:hAnsi="Arial" w:cs="Arial"/>
                <w:noProof/>
                <w:sz w:val="18"/>
                <w:szCs w:val="18"/>
                <w:lang w:val="af-ZA"/>
              </w:rPr>
              <w:t>w</w:t>
            </w:r>
            <w:r w:rsidRPr="002258E6">
              <w:rPr>
                <w:rFonts w:ascii="Arial" w:hAnsi="Arial" w:cs="Arial"/>
                <w:noProof/>
                <w:sz w:val="18"/>
                <w:szCs w:val="18"/>
                <w:lang w:val="af-ZA"/>
              </w:rPr>
              <w:t>els</w:t>
            </w:r>
          </w:p>
        </w:tc>
        <w:tc>
          <w:tcPr>
            <w:tcW w:w="968" w:type="dxa"/>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9.9 m</w:t>
            </w:r>
          </w:p>
        </w:tc>
        <w:tc>
          <w:tcPr>
            <w:tcW w:w="985" w:type="dxa"/>
            <w:tcBorders>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11.5 m</w:t>
            </w:r>
          </w:p>
        </w:tc>
        <w:tc>
          <w:tcPr>
            <w:tcW w:w="1034" w:type="dxa"/>
            <w:tcBorders>
              <w:top w:val="single" w:sz="4" w:space="0" w:color="auto"/>
              <w:left w:val="thinThickSmallGap" w:sz="24" w:space="0" w:color="auto"/>
              <w:bottom w:val="single" w:sz="4" w:space="0" w:color="auto"/>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12.3 m</w:t>
            </w:r>
          </w:p>
        </w:tc>
        <w:tc>
          <w:tcPr>
            <w:tcW w:w="1263"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7 m</w:t>
            </w:r>
          </w:p>
        </w:tc>
        <w:tc>
          <w:tcPr>
            <w:tcW w:w="977"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7.9 m</w:t>
            </w:r>
          </w:p>
        </w:tc>
        <w:tc>
          <w:tcPr>
            <w:tcW w:w="1361" w:type="dxa"/>
            <w:tcBorders>
              <w:lef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26.3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26.1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26.2 m</w:t>
            </w:r>
          </w:p>
        </w:tc>
      </w:tr>
      <w:tr w:rsidR="002258E6" w:rsidRPr="002258E6" w:rsidTr="002258E6">
        <w:trPr>
          <w:trHeight w:val="245"/>
        </w:trPr>
        <w:tc>
          <w:tcPr>
            <w:tcW w:w="1727" w:type="dxa"/>
          </w:tcPr>
          <w:p w:rsidR="00735272" w:rsidRPr="002258E6" w:rsidRDefault="00735272" w:rsidP="005032FF">
            <w:pPr>
              <w:spacing w:after="0" w:line="240" w:lineRule="auto"/>
              <w:rPr>
                <w:rFonts w:ascii="Arial" w:hAnsi="Arial" w:cs="Arial"/>
                <w:noProof/>
                <w:sz w:val="18"/>
                <w:szCs w:val="18"/>
                <w:lang w:val="af-ZA"/>
              </w:rPr>
            </w:pPr>
            <w:r w:rsidRPr="002258E6">
              <w:rPr>
                <w:rFonts w:ascii="Arial" w:hAnsi="Arial" w:cs="Arial"/>
                <w:noProof/>
                <w:sz w:val="18"/>
                <w:szCs w:val="18"/>
                <w:lang w:val="af-ZA"/>
              </w:rPr>
              <w:t>Valencia</w:t>
            </w:r>
            <w:r w:rsidR="002258E6">
              <w:rPr>
                <w:rFonts w:ascii="Arial" w:hAnsi="Arial" w:cs="Arial"/>
                <w:noProof/>
                <w:sz w:val="18"/>
                <w:szCs w:val="18"/>
                <w:lang w:val="af-ZA"/>
              </w:rPr>
              <w:t>s</w:t>
            </w:r>
          </w:p>
        </w:tc>
        <w:tc>
          <w:tcPr>
            <w:tcW w:w="968" w:type="dxa"/>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1.4 m</w:t>
            </w:r>
          </w:p>
        </w:tc>
        <w:tc>
          <w:tcPr>
            <w:tcW w:w="985" w:type="dxa"/>
            <w:tcBorders>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2.5 m</w:t>
            </w:r>
          </w:p>
        </w:tc>
        <w:tc>
          <w:tcPr>
            <w:tcW w:w="1034" w:type="dxa"/>
            <w:tcBorders>
              <w:top w:val="single" w:sz="4" w:space="0" w:color="auto"/>
              <w:left w:val="thinThickSmallGap" w:sz="24" w:space="0" w:color="auto"/>
              <w:bottom w:val="single" w:sz="4" w:space="0" w:color="auto"/>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3.1 m</w:t>
            </w:r>
          </w:p>
        </w:tc>
        <w:tc>
          <w:tcPr>
            <w:tcW w:w="1263"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0.7m</w:t>
            </w:r>
          </w:p>
        </w:tc>
        <w:tc>
          <w:tcPr>
            <w:tcW w:w="977"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1.4 m</w:t>
            </w:r>
          </w:p>
        </w:tc>
        <w:tc>
          <w:tcPr>
            <w:tcW w:w="1361" w:type="dxa"/>
            <w:tcBorders>
              <w:lef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58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57.6 m</w:t>
            </w:r>
          </w:p>
        </w:tc>
        <w:tc>
          <w:tcPr>
            <w:tcW w:w="0" w:type="auto"/>
            <w:shd w:val="clear" w:color="auto" w:fill="E6E6E6"/>
          </w:tcPr>
          <w:p w:rsidR="00735272" w:rsidRPr="002258E6" w:rsidRDefault="00735272" w:rsidP="00735272">
            <w:pPr>
              <w:spacing w:after="0" w:line="240" w:lineRule="auto"/>
              <w:jc w:val="center"/>
              <w:rPr>
                <w:rFonts w:ascii="Arial" w:hAnsi="Arial" w:cs="Arial"/>
                <w:noProof/>
                <w:sz w:val="18"/>
                <w:szCs w:val="18"/>
                <w:lang w:val="af-ZA"/>
              </w:rPr>
            </w:pPr>
            <w:r w:rsidRPr="002258E6">
              <w:rPr>
                <w:rFonts w:ascii="Arial" w:hAnsi="Arial" w:cs="Arial"/>
                <w:noProof/>
                <w:sz w:val="18"/>
                <w:szCs w:val="18"/>
                <w:lang w:val="af-ZA"/>
              </w:rPr>
              <w:t>55.1 m</w:t>
            </w:r>
          </w:p>
        </w:tc>
      </w:tr>
      <w:tr w:rsidR="002258E6" w:rsidRPr="002258E6" w:rsidTr="002258E6">
        <w:trPr>
          <w:trHeight w:val="214"/>
        </w:trPr>
        <w:tc>
          <w:tcPr>
            <w:tcW w:w="1727" w:type="dxa"/>
          </w:tcPr>
          <w:p w:rsidR="00735272" w:rsidRPr="002258E6" w:rsidRDefault="00735272" w:rsidP="005032FF">
            <w:pPr>
              <w:spacing w:after="0" w:line="240" w:lineRule="auto"/>
              <w:rPr>
                <w:rFonts w:ascii="Arial" w:hAnsi="Arial" w:cs="Arial"/>
                <w:b/>
                <w:noProof/>
                <w:sz w:val="18"/>
                <w:szCs w:val="18"/>
                <w:lang w:val="af-ZA"/>
              </w:rPr>
            </w:pPr>
            <w:r w:rsidRPr="002258E6">
              <w:rPr>
                <w:rFonts w:ascii="Arial" w:hAnsi="Arial" w:cs="Arial"/>
                <w:b/>
                <w:noProof/>
                <w:sz w:val="18"/>
                <w:szCs w:val="18"/>
                <w:lang w:val="af-ZA"/>
              </w:rPr>
              <w:t>Tota</w:t>
            </w:r>
            <w:r w:rsidR="002258E6">
              <w:rPr>
                <w:rFonts w:ascii="Arial" w:hAnsi="Arial" w:cs="Arial"/>
                <w:b/>
                <w:noProof/>
                <w:sz w:val="18"/>
                <w:szCs w:val="18"/>
                <w:lang w:val="af-ZA"/>
              </w:rPr>
              <w:t>a</w:t>
            </w:r>
            <w:r w:rsidRPr="002258E6">
              <w:rPr>
                <w:rFonts w:ascii="Arial" w:hAnsi="Arial" w:cs="Arial"/>
                <w:b/>
                <w:noProof/>
                <w:sz w:val="18"/>
                <w:szCs w:val="18"/>
                <w:lang w:val="af-ZA"/>
              </w:rPr>
              <w:t>l</w:t>
            </w:r>
          </w:p>
        </w:tc>
        <w:tc>
          <w:tcPr>
            <w:tcW w:w="968" w:type="dxa"/>
            <w:shd w:val="clear" w:color="auto" w:fill="CCCCCC"/>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42.4 m</w:t>
            </w:r>
          </w:p>
        </w:tc>
        <w:tc>
          <w:tcPr>
            <w:tcW w:w="985" w:type="dxa"/>
            <w:tcBorders>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53.6 m</w:t>
            </w:r>
          </w:p>
        </w:tc>
        <w:tc>
          <w:tcPr>
            <w:tcW w:w="1034" w:type="dxa"/>
            <w:tcBorders>
              <w:top w:val="single" w:sz="4" w:space="0" w:color="auto"/>
              <w:left w:val="thinThickSmallGap" w:sz="24" w:space="0" w:color="auto"/>
              <w:bottom w:val="single" w:sz="4" w:space="0" w:color="auto"/>
              <w:right w:val="thinThickSmallGap" w:sz="24" w:space="0" w:color="auto"/>
            </w:tcBorders>
            <w:shd w:val="clear" w:color="auto" w:fill="CCCCCC"/>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61.4 m</w:t>
            </w:r>
          </w:p>
        </w:tc>
        <w:tc>
          <w:tcPr>
            <w:tcW w:w="1263"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39.1m</w:t>
            </w:r>
          </w:p>
        </w:tc>
        <w:tc>
          <w:tcPr>
            <w:tcW w:w="977" w:type="dxa"/>
            <w:tcBorders>
              <w:left w:val="thinThickSmallGap" w:sz="24" w:space="0" w:color="auto"/>
              <w:righ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44.3 m</w:t>
            </w:r>
          </w:p>
        </w:tc>
        <w:tc>
          <w:tcPr>
            <w:tcW w:w="1361" w:type="dxa"/>
            <w:tcBorders>
              <w:left w:val="thinThickSmallGap" w:sz="24" w:space="0" w:color="auto"/>
            </w:tcBorders>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163 m</w:t>
            </w:r>
          </w:p>
        </w:tc>
        <w:tc>
          <w:tcPr>
            <w:tcW w:w="0" w:type="auto"/>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159.6 m</w:t>
            </w:r>
          </w:p>
        </w:tc>
        <w:tc>
          <w:tcPr>
            <w:tcW w:w="0" w:type="auto"/>
            <w:shd w:val="clear" w:color="auto" w:fill="E6E6E6"/>
          </w:tcPr>
          <w:p w:rsidR="00735272" w:rsidRPr="002258E6" w:rsidRDefault="00735272" w:rsidP="00735272">
            <w:pPr>
              <w:spacing w:after="0" w:line="240" w:lineRule="auto"/>
              <w:jc w:val="center"/>
              <w:rPr>
                <w:rFonts w:ascii="Arial" w:hAnsi="Arial" w:cs="Arial"/>
                <w:b/>
                <w:noProof/>
                <w:sz w:val="18"/>
                <w:szCs w:val="18"/>
                <w:lang w:val="af-ZA"/>
              </w:rPr>
            </w:pPr>
            <w:r w:rsidRPr="002258E6">
              <w:rPr>
                <w:rFonts w:ascii="Arial" w:hAnsi="Arial" w:cs="Arial"/>
                <w:b/>
                <w:noProof/>
                <w:sz w:val="18"/>
                <w:szCs w:val="18"/>
                <w:lang w:val="af-ZA"/>
              </w:rPr>
              <w:t>150 m</w:t>
            </w:r>
          </w:p>
        </w:tc>
      </w:tr>
    </w:tbl>
    <w:p w:rsidR="008A5702" w:rsidRDefault="008A5702" w:rsidP="008A5702"/>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9"/>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05" w:rsidRDefault="00B17605" w:rsidP="00595E08">
      <w:pPr>
        <w:spacing w:after="0" w:line="240" w:lineRule="auto"/>
      </w:pPr>
      <w:r>
        <w:separator/>
      </w:r>
    </w:p>
  </w:endnote>
  <w:endnote w:type="continuationSeparator" w:id="0">
    <w:p w:rsidR="00B17605" w:rsidRDefault="00B17605"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05" w:rsidRDefault="00B17605" w:rsidP="00595E08">
      <w:pPr>
        <w:spacing w:after="0" w:line="240" w:lineRule="auto"/>
      </w:pPr>
      <w:r>
        <w:separator/>
      </w:r>
    </w:p>
  </w:footnote>
  <w:footnote w:type="continuationSeparator" w:id="0">
    <w:p w:rsidR="00B17605" w:rsidRDefault="00B17605"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8FF"/>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B54F6"/>
    <w:rsid w:val="000C10C1"/>
    <w:rsid w:val="000C1752"/>
    <w:rsid w:val="000C4865"/>
    <w:rsid w:val="000C4B73"/>
    <w:rsid w:val="000C4E72"/>
    <w:rsid w:val="000D2F64"/>
    <w:rsid w:val="000D629E"/>
    <w:rsid w:val="000D7425"/>
    <w:rsid w:val="000E172C"/>
    <w:rsid w:val="000E49A6"/>
    <w:rsid w:val="000E541C"/>
    <w:rsid w:val="000E7748"/>
    <w:rsid w:val="000F059E"/>
    <w:rsid w:val="000F28FF"/>
    <w:rsid w:val="000F5B14"/>
    <w:rsid w:val="000F7D05"/>
    <w:rsid w:val="00100081"/>
    <w:rsid w:val="0010672A"/>
    <w:rsid w:val="00110F70"/>
    <w:rsid w:val="001118A3"/>
    <w:rsid w:val="0012042A"/>
    <w:rsid w:val="001218D8"/>
    <w:rsid w:val="00122FC7"/>
    <w:rsid w:val="00124699"/>
    <w:rsid w:val="00136127"/>
    <w:rsid w:val="00136B65"/>
    <w:rsid w:val="00142E5B"/>
    <w:rsid w:val="0015485D"/>
    <w:rsid w:val="001549C2"/>
    <w:rsid w:val="00157186"/>
    <w:rsid w:val="00164FE7"/>
    <w:rsid w:val="00165C85"/>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258E6"/>
    <w:rsid w:val="00230CA5"/>
    <w:rsid w:val="0023386D"/>
    <w:rsid w:val="002341C4"/>
    <w:rsid w:val="002350CC"/>
    <w:rsid w:val="0023735C"/>
    <w:rsid w:val="00244DA4"/>
    <w:rsid w:val="00246D78"/>
    <w:rsid w:val="00250E1D"/>
    <w:rsid w:val="002512C0"/>
    <w:rsid w:val="0025573C"/>
    <w:rsid w:val="00267052"/>
    <w:rsid w:val="0027201C"/>
    <w:rsid w:val="0027721A"/>
    <w:rsid w:val="00280379"/>
    <w:rsid w:val="00280B32"/>
    <w:rsid w:val="00280BC7"/>
    <w:rsid w:val="00297526"/>
    <w:rsid w:val="002A3692"/>
    <w:rsid w:val="002A3E51"/>
    <w:rsid w:val="002A597D"/>
    <w:rsid w:val="002A5A13"/>
    <w:rsid w:val="002B22C9"/>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742A8"/>
    <w:rsid w:val="0038002B"/>
    <w:rsid w:val="00380CC6"/>
    <w:rsid w:val="00383392"/>
    <w:rsid w:val="003858A1"/>
    <w:rsid w:val="003959C7"/>
    <w:rsid w:val="00397378"/>
    <w:rsid w:val="003A17FA"/>
    <w:rsid w:val="003A1DA8"/>
    <w:rsid w:val="003B09E4"/>
    <w:rsid w:val="003B15B6"/>
    <w:rsid w:val="003B3CE2"/>
    <w:rsid w:val="003B6EB9"/>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0A2E"/>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16DD0"/>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3D1D"/>
    <w:rsid w:val="005E05EF"/>
    <w:rsid w:val="005E29B8"/>
    <w:rsid w:val="005E62DC"/>
    <w:rsid w:val="005F2989"/>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B4387"/>
    <w:rsid w:val="006B4617"/>
    <w:rsid w:val="006B4E1B"/>
    <w:rsid w:val="006C1559"/>
    <w:rsid w:val="006D3BE7"/>
    <w:rsid w:val="006E0A15"/>
    <w:rsid w:val="006E231D"/>
    <w:rsid w:val="006E394D"/>
    <w:rsid w:val="006F29BD"/>
    <w:rsid w:val="006F43EB"/>
    <w:rsid w:val="00705569"/>
    <w:rsid w:val="007264AE"/>
    <w:rsid w:val="00726D85"/>
    <w:rsid w:val="00730CAC"/>
    <w:rsid w:val="00731F8B"/>
    <w:rsid w:val="00732CB3"/>
    <w:rsid w:val="00735272"/>
    <w:rsid w:val="007427D1"/>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B53EE"/>
    <w:rsid w:val="007C298B"/>
    <w:rsid w:val="007D4D85"/>
    <w:rsid w:val="007D4E14"/>
    <w:rsid w:val="007D531A"/>
    <w:rsid w:val="007E360C"/>
    <w:rsid w:val="007E6B47"/>
    <w:rsid w:val="007F6B60"/>
    <w:rsid w:val="0080215E"/>
    <w:rsid w:val="008107A2"/>
    <w:rsid w:val="0081352C"/>
    <w:rsid w:val="008137D6"/>
    <w:rsid w:val="0081487A"/>
    <w:rsid w:val="00823F18"/>
    <w:rsid w:val="00830C8C"/>
    <w:rsid w:val="00836320"/>
    <w:rsid w:val="008421EA"/>
    <w:rsid w:val="00843CDE"/>
    <w:rsid w:val="008441E2"/>
    <w:rsid w:val="00845165"/>
    <w:rsid w:val="0085105B"/>
    <w:rsid w:val="0085133F"/>
    <w:rsid w:val="00852AAD"/>
    <w:rsid w:val="00853DBC"/>
    <w:rsid w:val="008543FD"/>
    <w:rsid w:val="00860C1E"/>
    <w:rsid w:val="0086232D"/>
    <w:rsid w:val="008654A3"/>
    <w:rsid w:val="00865EC5"/>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A7709"/>
    <w:rsid w:val="008B1479"/>
    <w:rsid w:val="008B4C03"/>
    <w:rsid w:val="008B5FDB"/>
    <w:rsid w:val="008B7F6E"/>
    <w:rsid w:val="008C4AF4"/>
    <w:rsid w:val="008C5508"/>
    <w:rsid w:val="008C78C6"/>
    <w:rsid w:val="008E1A19"/>
    <w:rsid w:val="008E3E09"/>
    <w:rsid w:val="008E40E0"/>
    <w:rsid w:val="008F2289"/>
    <w:rsid w:val="00912266"/>
    <w:rsid w:val="00912CD2"/>
    <w:rsid w:val="009206C6"/>
    <w:rsid w:val="0092158A"/>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92221"/>
    <w:rsid w:val="009A00A9"/>
    <w:rsid w:val="009A0E3D"/>
    <w:rsid w:val="009A1B72"/>
    <w:rsid w:val="009B1746"/>
    <w:rsid w:val="009B1F88"/>
    <w:rsid w:val="009B3230"/>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751D8"/>
    <w:rsid w:val="00A77122"/>
    <w:rsid w:val="00A837EA"/>
    <w:rsid w:val="00A86324"/>
    <w:rsid w:val="00A94119"/>
    <w:rsid w:val="00A958B0"/>
    <w:rsid w:val="00A96822"/>
    <w:rsid w:val="00AA07D0"/>
    <w:rsid w:val="00AA3687"/>
    <w:rsid w:val="00AA51FF"/>
    <w:rsid w:val="00AA6199"/>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17605"/>
    <w:rsid w:val="00B31CDA"/>
    <w:rsid w:val="00B3410E"/>
    <w:rsid w:val="00B34BE7"/>
    <w:rsid w:val="00B65EBE"/>
    <w:rsid w:val="00B673C4"/>
    <w:rsid w:val="00B84D8D"/>
    <w:rsid w:val="00B86765"/>
    <w:rsid w:val="00B9425B"/>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0ADB"/>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01B4"/>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0A90"/>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75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897016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3831756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3901660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21\Reports\Annual%20Report\Copy%20of%20Pallet%20volumes%20per%20country-%20CHI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China!$B$2</c:f>
          <c:strCache>
            <c:ptCount val="1"/>
            <c:pt idx="0">
              <c:v>CHINA</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China!$B$5</c:f>
              <c:strCache>
                <c:ptCount val="1"/>
                <c:pt idx="0">
                  <c:v>VALENCIA</c:v>
                </c:pt>
              </c:strCache>
            </c:strRef>
          </c:tx>
          <c:spPr>
            <a:solidFill>
              <a:srgbClr val="92D050"/>
            </a:solidFill>
            <a:ln>
              <a:noFill/>
            </a:ln>
            <a:effectLst/>
          </c:spPr>
          <c:invertIfNegative val="0"/>
          <c:cat>
            <c:numRef>
              <c:f>China!$A$6:$A$14</c:f>
              <c:numCache>
                <c:formatCode>General</c:formatCode>
                <c:ptCount val="6"/>
                <c:pt idx="0">
                  <c:v>2015</c:v>
                </c:pt>
                <c:pt idx="1">
                  <c:v>2016</c:v>
                </c:pt>
                <c:pt idx="2">
                  <c:v>2017</c:v>
                </c:pt>
                <c:pt idx="3">
                  <c:v>2018</c:v>
                </c:pt>
                <c:pt idx="4">
                  <c:v>2019</c:v>
                </c:pt>
                <c:pt idx="5">
                  <c:v>2020</c:v>
                </c:pt>
              </c:numCache>
            </c:numRef>
          </c:cat>
          <c:val>
            <c:numRef>
              <c:f>China!$B$6:$B$14</c:f>
              <c:numCache>
                <c:formatCode>_ * #,##0_ ;_ * \-#,##0_ ;_ * "-"??_ ;_ @_ </c:formatCode>
                <c:ptCount val="6"/>
                <c:pt idx="0">
                  <c:v>35001.324993304137</c:v>
                </c:pt>
                <c:pt idx="1">
                  <c:v>21296.119999999995</c:v>
                </c:pt>
                <c:pt idx="2">
                  <c:v>52591.59000000004</c:v>
                </c:pt>
                <c:pt idx="3">
                  <c:v>64033.26999999999</c:v>
                </c:pt>
                <c:pt idx="4">
                  <c:v>52297.549999999988</c:v>
                </c:pt>
                <c:pt idx="5">
                  <c:v>58969</c:v>
                </c:pt>
              </c:numCache>
            </c:numRef>
          </c:val>
          <c:extLst xmlns:c16r2="http://schemas.microsoft.com/office/drawing/2015/06/chart">
            <c:ext xmlns:c16="http://schemas.microsoft.com/office/drawing/2014/chart" uri="{C3380CC4-5D6E-409C-BE32-E72D297353CC}">
              <c16:uniqueId val="{00000000-7CF8-4BA6-8214-B41A35C9B313}"/>
            </c:ext>
          </c:extLst>
        </c:ser>
        <c:ser>
          <c:idx val="1"/>
          <c:order val="1"/>
          <c:tx>
            <c:strRef>
              <c:f>China!$C$5</c:f>
              <c:strCache>
                <c:ptCount val="1"/>
                <c:pt idx="0">
                  <c:v>NAVELS</c:v>
                </c:pt>
              </c:strCache>
            </c:strRef>
          </c:tx>
          <c:spPr>
            <a:solidFill>
              <a:srgbClr val="FFC000"/>
            </a:solidFill>
            <a:ln>
              <a:noFill/>
            </a:ln>
            <a:effectLst/>
          </c:spPr>
          <c:invertIfNegative val="0"/>
          <c:cat>
            <c:numRef>
              <c:f>China!$A$6:$A$14</c:f>
              <c:numCache>
                <c:formatCode>General</c:formatCode>
                <c:ptCount val="6"/>
                <c:pt idx="0">
                  <c:v>2015</c:v>
                </c:pt>
                <c:pt idx="1">
                  <c:v>2016</c:v>
                </c:pt>
                <c:pt idx="2">
                  <c:v>2017</c:v>
                </c:pt>
                <c:pt idx="3">
                  <c:v>2018</c:v>
                </c:pt>
                <c:pt idx="4">
                  <c:v>2019</c:v>
                </c:pt>
                <c:pt idx="5">
                  <c:v>2020</c:v>
                </c:pt>
              </c:numCache>
            </c:numRef>
          </c:cat>
          <c:val>
            <c:numRef>
              <c:f>China!$C$6:$C$14</c:f>
              <c:numCache>
                <c:formatCode>_ * #,##0_ ;_ * \-#,##0_ ;_ * "-"??_ ;_ @_ </c:formatCode>
                <c:ptCount val="6"/>
                <c:pt idx="0">
                  <c:v>8013.2616346090845</c:v>
                </c:pt>
                <c:pt idx="1">
                  <c:v>5915.8500000000022</c:v>
                </c:pt>
                <c:pt idx="2">
                  <c:v>9776.2400000000034</c:v>
                </c:pt>
                <c:pt idx="3">
                  <c:v>24584.87000000001</c:v>
                </c:pt>
                <c:pt idx="4">
                  <c:v>24278.609999999986</c:v>
                </c:pt>
                <c:pt idx="5">
                  <c:v>13264</c:v>
                </c:pt>
              </c:numCache>
            </c:numRef>
          </c:val>
          <c:extLst xmlns:c16r2="http://schemas.microsoft.com/office/drawing/2015/06/chart">
            <c:ext xmlns:c16="http://schemas.microsoft.com/office/drawing/2014/chart" uri="{C3380CC4-5D6E-409C-BE32-E72D297353CC}">
              <c16:uniqueId val="{00000001-7CF8-4BA6-8214-B41A35C9B313}"/>
            </c:ext>
          </c:extLst>
        </c:ser>
        <c:ser>
          <c:idx val="2"/>
          <c:order val="2"/>
          <c:tx>
            <c:strRef>
              <c:f>China!$D$5</c:f>
              <c:strCache>
                <c:ptCount val="1"/>
                <c:pt idx="0">
                  <c:v>GRAPEFRUIT</c:v>
                </c:pt>
              </c:strCache>
            </c:strRef>
          </c:tx>
          <c:spPr>
            <a:solidFill>
              <a:srgbClr val="FF0066"/>
            </a:solidFill>
            <a:ln>
              <a:noFill/>
            </a:ln>
            <a:effectLst/>
          </c:spPr>
          <c:invertIfNegative val="0"/>
          <c:cat>
            <c:numRef>
              <c:f>China!$A$6:$A$14</c:f>
              <c:numCache>
                <c:formatCode>General</c:formatCode>
                <c:ptCount val="6"/>
                <c:pt idx="0">
                  <c:v>2015</c:v>
                </c:pt>
                <c:pt idx="1">
                  <c:v>2016</c:v>
                </c:pt>
                <c:pt idx="2">
                  <c:v>2017</c:v>
                </c:pt>
                <c:pt idx="3">
                  <c:v>2018</c:v>
                </c:pt>
                <c:pt idx="4">
                  <c:v>2019</c:v>
                </c:pt>
                <c:pt idx="5">
                  <c:v>2020</c:v>
                </c:pt>
              </c:numCache>
            </c:numRef>
          </c:cat>
          <c:val>
            <c:numRef>
              <c:f>China!$D$6:$D$14</c:f>
              <c:numCache>
                <c:formatCode>_ * #,##0_ ;_ * \-#,##0_ ;_ * "-"??_ ;_ @_ </c:formatCode>
                <c:ptCount val="6"/>
                <c:pt idx="0">
                  <c:v>21513.354008209539</c:v>
                </c:pt>
                <c:pt idx="1">
                  <c:v>12502.92</c:v>
                </c:pt>
                <c:pt idx="2">
                  <c:v>18546.23</c:v>
                </c:pt>
                <c:pt idx="3">
                  <c:v>47774.509999999995</c:v>
                </c:pt>
                <c:pt idx="4">
                  <c:v>33119.840000000004</c:v>
                </c:pt>
                <c:pt idx="5">
                  <c:v>46342</c:v>
                </c:pt>
              </c:numCache>
            </c:numRef>
          </c:val>
          <c:extLst xmlns:c16r2="http://schemas.microsoft.com/office/drawing/2015/06/chart">
            <c:ext xmlns:c16="http://schemas.microsoft.com/office/drawing/2014/chart" uri="{C3380CC4-5D6E-409C-BE32-E72D297353CC}">
              <c16:uniqueId val="{00000002-7CF8-4BA6-8214-B41A35C9B313}"/>
            </c:ext>
          </c:extLst>
        </c:ser>
        <c:ser>
          <c:idx val="3"/>
          <c:order val="3"/>
          <c:tx>
            <c:strRef>
              <c:f>China!$E$5</c:f>
              <c:strCache>
                <c:ptCount val="1"/>
                <c:pt idx="0">
                  <c:v>LEMONS</c:v>
                </c:pt>
              </c:strCache>
            </c:strRef>
          </c:tx>
          <c:spPr>
            <a:solidFill>
              <a:srgbClr val="FFFF00"/>
            </a:solidFill>
            <a:ln>
              <a:noFill/>
            </a:ln>
            <a:effectLst/>
          </c:spPr>
          <c:invertIfNegative val="0"/>
          <c:cat>
            <c:numRef>
              <c:f>China!$A$6:$A$14</c:f>
              <c:numCache>
                <c:formatCode>General</c:formatCode>
                <c:ptCount val="6"/>
                <c:pt idx="0">
                  <c:v>2015</c:v>
                </c:pt>
                <c:pt idx="1">
                  <c:v>2016</c:v>
                </c:pt>
                <c:pt idx="2">
                  <c:v>2017</c:v>
                </c:pt>
                <c:pt idx="3">
                  <c:v>2018</c:v>
                </c:pt>
                <c:pt idx="4">
                  <c:v>2019</c:v>
                </c:pt>
                <c:pt idx="5">
                  <c:v>2020</c:v>
                </c:pt>
              </c:numCache>
            </c:numRef>
          </c:cat>
          <c:val>
            <c:numRef>
              <c:f>China!$E$6:$E$14</c:f>
              <c:numCache>
                <c:formatCode>_ * #,##0_ ;_ * \-#,##0_ ;_ * "-"??_ ;_ @_ </c:formatCode>
                <c:ptCount val="6"/>
                <c:pt idx="0">
                  <c:v>137.20880040153924</c:v>
                </c:pt>
                <c:pt idx="1">
                  <c:v>157</c:v>
                </c:pt>
                <c:pt idx="2">
                  <c:v>70</c:v>
                </c:pt>
                <c:pt idx="3">
                  <c:v>268.98</c:v>
                </c:pt>
                <c:pt idx="4">
                  <c:v>183</c:v>
                </c:pt>
                <c:pt idx="5">
                  <c:v>130</c:v>
                </c:pt>
              </c:numCache>
            </c:numRef>
          </c:val>
          <c:extLst xmlns:c16r2="http://schemas.microsoft.com/office/drawing/2015/06/chart">
            <c:ext xmlns:c16="http://schemas.microsoft.com/office/drawing/2014/chart" uri="{C3380CC4-5D6E-409C-BE32-E72D297353CC}">
              <c16:uniqueId val="{00000003-7CF8-4BA6-8214-B41A35C9B313}"/>
            </c:ext>
          </c:extLst>
        </c:ser>
        <c:ser>
          <c:idx val="4"/>
          <c:order val="4"/>
          <c:tx>
            <c:strRef>
              <c:f>China!$F$5</c:f>
              <c:strCache>
                <c:ptCount val="1"/>
                <c:pt idx="0">
                  <c:v>SOFT CITRUS</c:v>
                </c:pt>
              </c:strCache>
            </c:strRef>
          </c:tx>
          <c:spPr>
            <a:solidFill>
              <a:srgbClr val="FF6600"/>
            </a:solidFill>
            <a:ln>
              <a:noFill/>
            </a:ln>
            <a:effectLst/>
          </c:spPr>
          <c:invertIfNegative val="0"/>
          <c:cat>
            <c:numRef>
              <c:f>China!$A$6:$A$14</c:f>
              <c:numCache>
                <c:formatCode>General</c:formatCode>
                <c:ptCount val="6"/>
                <c:pt idx="0">
                  <c:v>2015</c:v>
                </c:pt>
                <c:pt idx="1">
                  <c:v>2016</c:v>
                </c:pt>
                <c:pt idx="2">
                  <c:v>2017</c:v>
                </c:pt>
                <c:pt idx="3">
                  <c:v>2018</c:v>
                </c:pt>
                <c:pt idx="4">
                  <c:v>2019</c:v>
                </c:pt>
                <c:pt idx="5">
                  <c:v>2020</c:v>
                </c:pt>
              </c:numCache>
            </c:numRef>
          </c:cat>
          <c:val>
            <c:numRef>
              <c:f>China!$F$6:$F$14</c:f>
              <c:numCache>
                <c:formatCode>_ * #,##0_ ;_ * \-#,##0_ ;_ * "-"??_ ;_ @_ </c:formatCode>
                <c:ptCount val="6"/>
                <c:pt idx="0">
                  <c:v>293.85056347570094</c:v>
                </c:pt>
                <c:pt idx="1">
                  <c:v>653.23</c:v>
                </c:pt>
                <c:pt idx="2">
                  <c:v>1964.4699999999998</c:v>
                </c:pt>
                <c:pt idx="3">
                  <c:v>5517.85</c:v>
                </c:pt>
                <c:pt idx="4">
                  <c:v>9524.2699999999968</c:v>
                </c:pt>
                <c:pt idx="5">
                  <c:v>12807</c:v>
                </c:pt>
              </c:numCache>
            </c:numRef>
          </c:val>
          <c:extLst xmlns:c16r2="http://schemas.microsoft.com/office/drawing/2015/06/chart">
            <c:ext xmlns:c16="http://schemas.microsoft.com/office/drawing/2014/chart" uri="{C3380CC4-5D6E-409C-BE32-E72D297353CC}">
              <c16:uniqueId val="{00000004-7CF8-4BA6-8214-B41A35C9B313}"/>
            </c:ext>
          </c:extLst>
        </c:ser>
        <c:dLbls>
          <c:showLegendKey val="0"/>
          <c:showVal val="0"/>
          <c:showCatName val="0"/>
          <c:showSerName val="0"/>
          <c:showPercent val="0"/>
          <c:showBubbleSize val="0"/>
        </c:dLbls>
        <c:gapWidth val="150"/>
        <c:overlap val="100"/>
        <c:axId val="343121664"/>
        <c:axId val="343124800"/>
      </c:barChart>
      <c:catAx>
        <c:axId val="34312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124800"/>
        <c:crosses val="autoZero"/>
        <c:auto val="1"/>
        <c:lblAlgn val="ctr"/>
        <c:lblOffset val="100"/>
        <c:noMultiLvlLbl val="0"/>
      </c:catAx>
      <c:valAx>
        <c:axId val="343124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Tons</a:t>
                </a:r>
              </a:p>
            </c:rich>
          </c:tx>
          <c:layout>
            <c:manualLayout>
              <c:xMode val="edge"/>
              <c:yMode val="edge"/>
              <c:x val="1.3888888888888888E-2"/>
              <c:y val="0.396091790609507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121664"/>
        <c:crosses val="autoZero"/>
        <c:crossBetween val="between"/>
      </c:valAx>
      <c:spPr>
        <a:noFill/>
        <a:ln>
          <a:noFill/>
        </a:ln>
        <a:effectLst/>
      </c:spPr>
    </c:plotArea>
    <c:legend>
      <c:legendPos val="b"/>
      <c:layout>
        <c:manualLayout>
          <c:xMode val="edge"/>
          <c:yMode val="edge"/>
          <c:x val="0.21256399706793408"/>
          <c:y val="0.90513171850590146"/>
          <c:w val="0.6901871320139038"/>
          <c:h val="6.99849263034698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2021-05-21T09:55:00Z</cp:lastPrinted>
  <dcterms:created xsi:type="dcterms:W3CDTF">2021-06-25T11:25:00Z</dcterms:created>
  <dcterms:modified xsi:type="dcterms:W3CDTF">2021-06-25T11:25:00Z</dcterms:modified>
</cp:coreProperties>
</file>