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654A3" w:rsidRDefault="005859D8" w:rsidP="00D51E40">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E40">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380CC6">
        <w:rPr>
          <w:rFonts w:asciiTheme="minorHAnsi" w:hAnsiTheme="minorHAnsi" w:cstheme="minorHAnsi"/>
          <w:b/>
          <w:i/>
          <w:sz w:val="24"/>
          <w:szCs w:val="24"/>
        </w:rPr>
        <w:t>19</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D51E40">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D51E40">
        <w:rPr>
          <w:rFonts w:asciiTheme="minorHAnsi" w:hAnsiTheme="minorHAnsi" w:cstheme="minorHAnsi"/>
          <w:b/>
          <w:color w:val="FF0000"/>
          <w:sz w:val="24"/>
          <w:szCs w:val="24"/>
        </w:rPr>
        <w:t>Volg my op T</w:t>
      </w:r>
      <w:r w:rsidRPr="008654A3">
        <w:rPr>
          <w:rFonts w:asciiTheme="minorHAnsi" w:hAnsiTheme="minorHAnsi" w:cstheme="minorHAnsi"/>
          <w:b/>
          <w:color w:val="FF0000"/>
          <w:sz w:val="24"/>
          <w:szCs w:val="24"/>
        </w:rPr>
        <w:t>witter justchad_cga)</w:t>
      </w:r>
    </w:p>
    <w:p w:rsidR="00361403" w:rsidRPr="008654A3" w:rsidRDefault="00380CC6" w:rsidP="00D51E40">
      <w:pPr>
        <w:rPr>
          <w:rFonts w:asciiTheme="minorHAnsi" w:hAnsiTheme="minorHAnsi" w:cstheme="minorHAnsi"/>
          <w:i/>
          <w:sz w:val="24"/>
          <w:szCs w:val="24"/>
        </w:rPr>
      </w:pPr>
      <w:r>
        <w:rPr>
          <w:rFonts w:asciiTheme="minorHAnsi" w:hAnsiTheme="minorHAnsi" w:cstheme="minorHAnsi"/>
          <w:i/>
          <w:sz w:val="24"/>
          <w:szCs w:val="24"/>
        </w:rPr>
        <w:t>Justin Chadwick 21</w:t>
      </w:r>
      <w:r w:rsidR="00FF1311">
        <w:rPr>
          <w:rFonts w:asciiTheme="minorHAnsi" w:hAnsiTheme="minorHAnsi" w:cstheme="minorHAnsi"/>
          <w:i/>
          <w:sz w:val="24"/>
          <w:szCs w:val="24"/>
        </w:rPr>
        <w:t xml:space="preserve"> M</w:t>
      </w:r>
      <w:r w:rsidR="00D51E40">
        <w:rPr>
          <w:rFonts w:asciiTheme="minorHAnsi" w:hAnsiTheme="minorHAnsi" w:cstheme="minorHAnsi"/>
          <w:i/>
          <w:sz w:val="24"/>
          <w:szCs w:val="24"/>
        </w:rPr>
        <w:t xml:space="preserve">ei </w:t>
      </w:r>
      <w:r w:rsidR="00AD79A4" w:rsidRPr="008654A3">
        <w:rPr>
          <w:rFonts w:asciiTheme="minorHAnsi" w:hAnsiTheme="minorHAnsi" w:cstheme="minorHAnsi"/>
          <w:i/>
          <w:sz w:val="24"/>
          <w:szCs w:val="24"/>
        </w:rPr>
        <w:t>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603FFA" w:rsidRDefault="00CE0436" w:rsidP="00380CC6">
            <w:pPr>
              <w:spacing w:after="0"/>
              <w:ind w:right="-329"/>
              <w:rPr>
                <w:rFonts w:asciiTheme="minorHAnsi" w:hAnsiTheme="minorHAnsi" w:cstheme="minorHAnsi"/>
                <w:b/>
                <w:i/>
                <w:lang w:val="en-US"/>
              </w:rPr>
            </w:pPr>
            <w:r w:rsidRPr="00603FFA">
              <w:rPr>
                <w:rFonts w:asciiTheme="minorHAnsi" w:hAnsiTheme="minorHAnsi" w:cstheme="minorHAnsi"/>
                <w:b/>
                <w:i/>
                <w:color w:val="2D2D2D"/>
                <w:shd w:val="clear" w:color="auto" w:fill="FFFFFF"/>
              </w:rPr>
              <w:t>“</w:t>
            </w:r>
            <w:r w:rsidR="00380CC6">
              <w:rPr>
                <w:rFonts w:asciiTheme="minorHAnsi" w:hAnsiTheme="minorHAnsi" w:cstheme="minorHAnsi"/>
                <w:b/>
                <w:i/>
                <w:color w:val="2D2D2D"/>
                <w:shd w:val="clear" w:color="auto" w:fill="FFFFFF"/>
              </w:rPr>
              <w:t>Seeing ourselves as others see us would probably confirm our worst suspicions about them” Franklin P Adams</w:t>
            </w:r>
          </w:p>
        </w:tc>
      </w:tr>
    </w:tbl>
    <w:p w:rsidR="00D51E40" w:rsidRPr="00D51E40" w:rsidRDefault="00D51E40" w:rsidP="00250D2E">
      <w:pPr>
        <w:pStyle w:val="ListParagraph"/>
        <w:ind w:left="0"/>
        <w:rPr>
          <w:rFonts w:asciiTheme="minorHAnsi" w:eastAsiaTheme="minorHAnsi" w:hAnsiTheme="minorHAnsi" w:cstheme="minorBidi"/>
          <w:b/>
          <w:bCs/>
          <w:color w:val="7030A0"/>
          <w:u w:val="single"/>
          <w:lang w:val="en-US"/>
        </w:rPr>
      </w:pPr>
      <w:r w:rsidRPr="00D51E40">
        <w:rPr>
          <w:rFonts w:asciiTheme="minorHAnsi" w:eastAsiaTheme="minorHAnsi" w:hAnsiTheme="minorHAnsi" w:cstheme="minorBidi"/>
          <w:b/>
          <w:bCs/>
          <w:color w:val="7030A0"/>
          <w:u w:val="single"/>
          <w:lang w:val="en-US"/>
        </w:rPr>
        <w:t>AANBIEDING DEUR ERIC IMBERT</w:t>
      </w:r>
      <w:r w:rsidR="00250D2E">
        <w:rPr>
          <w:rFonts w:asciiTheme="minorHAnsi" w:eastAsiaTheme="minorHAnsi" w:hAnsiTheme="minorHAnsi" w:cstheme="minorBidi"/>
          <w:b/>
          <w:bCs/>
          <w:color w:val="7030A0"/>
          <w:u w:val="single"/>
          <w:lang w:val="en-US"/>
        </w:rPr>
        <w:t xml:space="preserve">: </w:t>
      </w:r>
      <w:r w:rsidRPr="00D51E40">
        <w:rPr>
          <w:rFonts w:asciiTheme="minorHAnsi" w:eastAsiaTheme="minorHAnsi" w:hAnsiTheme="minorHAnsi" w:cstheme="minorBidi"/>
          <w:b/>
          <w:bCs/>
          <w:color w:val="7030A0"/>
          <w:u w:val="single"/>
          <w:lang w:val="en-US"/>
        </w:rPr>
        <w:t>W</w:t>
      </w:r>
      <w:r w:rsidRPr="00D51E40">
        <w:rPr>
          <w:rFonts w:asciiTheme="minorHAnsi" w:eastAsiaTheme="minorHAnsi" w:hAnsiTheme="minorHAnsi" w:cstheme="minorHAnsi"/>
          <w:b/>
          <w:bCs/>
          <w:color w:val="7030A0"/>
          <w:u w:val="single"/>
          <w:lang w:val="en-US"/>
        </w:rPr>
        <w:t>Ê</w:t>
      </w:r>
      <w:r w:rsidRPr="00D51E40">
        <w:rPr>
          <w:rFonts w:asciiTheme="minorHAnsi" w:eastAsiaTheme="minorHAnsi" w:hAnsiTheme="minorHAnsi" w:cstheme="minorBidi"/>
          <w:b/>
          <w:bCs/>
          <w:color w:val="7030A0"/>
          <w:u w:val="single"/>
          <w:lang w:val="en-US"/>
        </w:rPr>
        <w:t>RELD</w:t>
      </w:r>
      <w:r w:rsidR="00250D2E">
        <w:rPr>
          <w:rFonts w:asciiTheme="minorHAnsi" w:eastAsiaTheme="minorHAnsi" w:hAnsiTheme="minorHAnsi" w:cstheme="minorBidi"/>
          <w:b/>
          <w:bCs/>
          <w:color w:val="7030A0"/>
          <w:u w:val="single"/>
          <w:lang w:val="en-US"/>
        </w:rPr>
        <w:t>-</w:t>
      </w:r>
      <w:r w:rsidRPr="00D51E40">
        <w:rPr>
          <w:rFonts w:asciiTheme="minorHAnsi" w:eastAsiaTheme="minorHAnsi" w:hAnsiTheme="minorHAnsi" w:cstheme="minorBidi"/>
          <w:b/>
          <w:bCs/>
          <w:color w:val="7030A0"/>
          <w:u w:val="single"/>
          <w:lang w:val="en-US"/>
        </w:rPr>
        <w:t>SITRUS ORGANISASIE (WCO) AJV</w:t>
      </w:r>
    </w:p>
    <w:p w:rsidR="00D51E40" w:rsidRPr="00810CC8" w:rsidRDefault="00D51E40" w:rsidP="00250D2E">
      <w:pPr>
        <w:pStyle w:val="ListParagraph"/>
        <w:numPr>
          <w:ilvl w:val="0"/>
          <w:numId w:val="5"/>
        </w:numPr>
        <w:spacing w:line="240" w:lineRule="auto"/>
        <w:jc w:val="both"/>
        <w:rPr>
          <w:rFonts w:asciiTheme="minorHAnsi" w:eastAsiaTheme="minorHAnsi" w:hAnsiTheme="minorHAnsi" w:cstheme="minorBidi"/>
          <w:noProof/>
          <w:sz w:val="21"/>
          <w:szCs w:val="21"/>
          <w:lang w:val="en-AU"/>
        </w:rPr>
      </w:pPr>
      <w:r w:rsidRPr="00810CC8">
        <w:rPr>
          <w:rFonts w:asciiTheme="minorHAnsi" w:eastAsiaTheme="minorHAnsi" w:hAnsiTheme="minorHAnsi" w:cstheme="minorBidi"/>
          <w:noProof/>
          <w:sz w:val="21"/>
          <w:szCs w:val="21"/>
          <w:lang w:val="en-AU"/>
        </w:rPr>
        <w:t xml:space="preserve">Eric se aanbieding het op die suidelike halfrond se </w:t>
      </w:r>
      <w:r w:rsidR="006A0DC3" w:rsidRPr="00810CC8">
        <w:rPr>
          <w:rFonts w:asciiTheme="minorHAnsi" w:eastAsiaTheme="minorHAnsi" w:hAnsiTheme="minorHAnsi" w:cstheme="minorBidi"/>
          <w:noProof/>
          <w:sz w:val="21"/>
          <w:szCs w:val="21"/>
          <w:lang w:val="en-AU"/>
        </w:rPr>
        <w:t>s</w:t>
      </w:r>
      <w:r w:rsidRPr="00810CC8">
        <w:rPr>
          <w:rFonts w:asciiTheme="minorHAnsi" w:eastAsiaTheme="minorHAnsi" w:hAnsiTheme="minorHAnsi" w:cstheme="minorBidi"/>
          <w:noProof/>
          <w:sz w:val="21"/>
          <w:szCs w:val="21"/>
          <w:lang w:val="en-AU"/>
        </w:rPr>
        <w:t>itrus</w:t>
      </w:r>
      <w:r w:rsidR="00250D2E">
        <w:rPr>
          <w:rFonts w:asciiTheme="minorHAnsi" w:eastAsiaTheme="minorHAnsi" w:hAnsiTheme="minorHAnsi" w:cstheme="minorBidi"/>
          <w:noProof/>
          <w:sz w:val="21"/>
          <w:szCs w:val="21"/>
          <w:lang w:val="en-AU"/>
        </w:rPr>
        <w:t>-</w:t>
      </w:r>
      <w:r w:rsidRPr="00810CC8">
        <w:rPr>
          <w:rFonts w:asciiTheme="minorHAnsi" w:eastAsiaTheme="minorHAnsi" w:hAnsiTheme="minorHAnsi" w:cstheme="minorBidi"/>
          <w:noProof/>
          <w:sz w:val="21"/>
          <w:szCs w:val="21"/>
          <w:lang w:val="en-AU"/>
        </w:rPr>
        <w:t>inligting gefokus. Dit het ‘n paar interessante feite ingesluit:</w:t>
      </w:r>
    </w:p>
    <w:p w:rsidR="00D51E40" w:rsidRPr="00810CC8" w:rsidRDefault="00D51E40" w:rsidP="00250D2E">
      <w:pPr>
        <w:pStyle w:val="ListParagraph"/>
        <w:numPr>
          <w:ilvl w:val="0"/>
          <w:numId w:val="5"/>
        </w:numPr>
        <w:spacing w:line="240" w:lineRule="auto"/>
        <w:jc w:val="both"/>
        <w:rPr>
          <w:rFonts w:asciiTheme="minorHAnsi" w:eastAsiaTheme="minorHAnsi" w:hAnsiTheme="minorHAnsi" w:cstheme="minorBidi"/>
          <w:noProof/>
          <w:sz w:val="21"/>
          <w:szCs w:val="21"/>
          <w:lang w:val="en-AU"/>
        </w:rPr>
      </w:pPr>
      <w:r w:rsidRPr="00810CC8">
        <w:rPr>
          <w:rFonts w:asciiTheme="minorHAnsi" w:eastAsiaTheme="minorHAnsi" w:hAnsiTheme="minorHAnsi" w:cstheme="minorBidi"/>
          <w:noProof/>
          <w:sz w:val="21"/>
          <w:szCs w:val="21"/>
          <w:lang w:val="en-AU"/>
        </w:rPr>
        <w:t>Suidelike halfrond se aandeel in die jaarlikse sitrus</w:t>
      </w:r>
      <w:r w:rsidR="00250D2E">
        <w:rPr>
          <w:rFonts w:asciiTheme="minorHAnsi" w:eastAsiaTheme="minorHAnsi" w:hAnsiTheme="minorHAnsi" w:cstheme="minorBidi"/>
          <w:noProof/>
          <w:sz w:val="21"/>
          <w:szCs w:val="21"/>
          <w:lang w:val="en-AU"/>
        </w:rPr>
        <w:t xml:space="preserve">handel het tot  27%, </w:t>
      </w:r>
      <w:r w:rsidRPr="00810CC8">
        <w:rPr>
          <w:rFonts w:asciiTheme="minorHAnsi" w:eastAsiaTheme="minorHAnsi" w:hAnsiTheme="minorHAnsi" w:cstheme="minorBidi"/>
          <w:noProof/>
          <w:sz w:val="21"/>
          <w:szCs w:val="21"/>
          <w:lang w:val="en-AU"/>
        </w:rPr>
        <w:t xml:space="preserve">van 24% in 2019 toegeneem. 'n Totaal van 3,7 miljoen ton is in 2020 uitgevoer - 'n toename van 360 000 ton vanaf 2019. In 2012 was die suidelike halfrond </w:t>
      </w:r>
      <w:r w:rsidR="006A0DC3" w:rsidRPr="00810CC8">
        <w:rPr>
          <w:rFonts w:asciiTheme="minorHAnsi" w:eastAsiaTheme="minorHAnsi" w:hAnsiTheme="minorHAnsi" w:cstheme="minorBidi"/>
          <w:noProof/>
          <w:sz w:val="21"/>
          <w:szCs w:val="21"/>
          <w:lang w:val="en-AU"/>
        </w:rPr>
        <w:t xml:space="preserve">op </w:t>
      </w:r>
      <w:r w:rsidRPr="00810CC8">
        <w:rPr>
          <w:rFonts w:asciiTheme="minorHAnsi" w:eastAsiaTheme="minorHAnsi" w:hAnsiTheme="minorHAnsi" w:cstheme="minorBidi"/>
          <w:noProof/>
          <w:sz w:val="21"/>
          <w:szCs w:val="21"/>
          <w:lang w:val="en-AU"/>
        </w:rPr>
        <w:t>20%.</w:t>
      </w:r>
    </w:p>
    <w:p w:rsidR="00D51E40" w:rsidRPr="00810CC8" w:rsidRDefault="00D51E40" w:rsidP="001E6F79">
      <w:pPr>
        <w:pStyle w:val="ListParagraph"/>
        <w:numPr>
          <w:ilvl w:val="0"/>
          <w:numId w:val="5"/>
        </w:numPr>
        <w:spacing w:line="240" w:lineRule="auto"/>
        <w:jc w:val="both"/>
        <w:rPr>
          <w:rFonts w:asciiTheme="minorHAnsi" w:eastAsiaTheme="minorHAnsi" w:hAnsiTheme="minorHAnsi" w:cstheme="minorBidi"/>
          <w:noProof/>
          <w:sz w:val="21"/>
          <w:szCs w:val="21"/>
          <w:lang w:val="en-AU"/>
        </w:rPr>
      </w:pPr>
      <w:r w:rsidRPr="00810CC8">
        <w:rPr>
          <w:rFonts w:asciiTheme="minorHAnsi" w:eastAsiaTheme="minorHAnsi" w:hAnsiTheme="minorHAnsi" w:cstheme="minorBidi"/>
          <w:noProof/>
          <w:sz w:val="21"/>
          <w:szCs w:val="21"/>
          <w:lang w:val="en-AU"/>
        </w:rPr>
        <w:t xml:space="preserve">Handel in die EU-, VK- en VSA-markte </w:t>
      </w:r>
      <w:r w:rsidR="006A0DC3" w:rsidRPr="00810CC8">
        <w:rPr>
          <w:rFonts w:asciiTheme="minorHAnsi" w:eastAsiaTheme="minorHAnsi" w:hAnsiTheme="minorHAnsi" w:cstheme="minorBidi"/>
          <w:noProof/>
          <w:sz w:val="21"/>
          <w:szCs w:val="21"/>
          <w:lang w:val="en-AU"/>
        </w:rPr>
        <w:t xml:space="preserve">het </w:t>
      </w:r>
      <w:r w:rsidRPr="00810CC8">
        <w:rPr>
          <w:rFonts w:asciiTheme="minorHAnsi" w:eastAsiaTheme="minorHAnsi" w:hAnsiTheme="minorHAnsi" w:cstheme="minorBidi"/>
          <w:noProof/>
          <w:sz w:val="21"/>
          <w:szCs w:val="21"/>
          <w:lang w:val="en-AU"/>
        </w:rPr>
        <w:t xml:space="preserve">sterk gegroei; terwyl effense groei in die Midde-Ooste en Oos-Europa aangeteken is. Asië was aansienlik laer as die volumes van 2019; nadat dit </w:t>
      </w:r>
      <w:r w:rsidR="00250D2E">
        <w:rPr>
          <w:rFonts w:asciiTheme="minorHAnsi" w:eastAsiaTheme="minorHAnsi" w:hAnsiTheme="minorHAnsi" w:cstheme="minorBidi"/>
          <w:noProof/>
          <w:sz w:val="21"/>
          <w:szCs w:val="21"/>
          <w:lang w:val="en-AU"/>
        </w:rPr>
        <w:t xml:space="preserve">die </w:t>
      </w:r>
      <w:r w:rsidRPr="00810CC8">
        <w:rPr>
          <w:rFonts w:asciiTheme="minorHAnsi" w:eastAsiaTheme="minorHAnsi" w:hAnsiTheme="minorHAnsi" w:cstheme="minorBidi"/>
          <w:noProof/>
          <w:sz w:val="21"/>
          <w:szCs w:val="21"/>
          <w:lang w:val="en-AU"/>
        </w:rPr>
        <w:t>afgelope aantal jare met 60 000 ton per jaar gegroei het; die uitvoervolumes het in 2020 met 80 000 ton afgeneem.</w:t>
      </w:r>
    </w:p>
    <w:p w:rsidR="00D51E40" w:rsidRPr="00810CC8" w:rsidRDefault="00D51E40" w:rsidP="00250D2E">
      <w:pPr>
        <w:pStyle w:val="ListParagraph"/>
        <w:numPr>
          <w:ilvl w:val="0"/>
          <w:numId w:val="5"/>
        </w:numPr>
        <w:spacing w:line="240" w:lineRule="auto"/>
        <w:jc w:val="both"/>
        <w:rPr>
          <w:rFonts w:asciiTheme="minorHAnsi" w:eastAsiaTheme="minorHAnsi" w:hAnsiTheme="minorHAnsi" w:cstheme="minorBidi"/>
          <w:noProof/>
          <w:sz w:val="21"/>
          <w:szCs w:val="21"/>
          <w:lang w:val="en-AU"/>
        </w:rPr>
      </w:pPr>
      <w:r w:rsidRPr="00810CC8">
        <w:rPr>
          <w:rFonts w:asciiTheme="minorHAnsi" w:eastAsiaTheme="minorHAnsi" w:hAnsiTheme="minorHAnsi" w:cstheme="minorBidi"/>
          <w:noProof/>
          <w:sz w:val="21"/>
          <w:szCs w:val="21"/>
          <w:lang w:val="en-AU"/>
        </w:rPr>
        <w:t>Die uitvoer van sagte sitrus van</w:t>
      </w:r>
      <w:r w:rsidR="006A0DC3" w:rsidRPr="00810CC8">
        <w:rPr>
          <w:rFonts w:asciiTheme="minorHAnsi" w:eastAsiaTheme="minorHAnsi" w:hAnsiTheme="minorHAnsi" w:cstheme="minorBidi"/>
          <w:noProof/>
          <w:sz w:val="21"/>
          <w:szCs w:val="21"/>
          <w:lang w:val="en-AU"/>
        </w:rPr>
        <w:t xml:space="preserve">af </w:t>
      </w:r>
      <w:r w:rsidRPr="00810CC8">
        <w:rPr>
          <w:rFonts w:asciiTheme="minorHAnsi" w:eastAsiaTheme="minorHAnsi" w:hAnsiTheme="minorHAnsi" w:cstheme="minorBidi"/>
          <w:noProof/>
          <w:sz w:val="21"/>
          <w:szCs w:val="21"/>
          <w:lang w:val="en-AU"/>
        </w:rPr>
        <w:t xml:space="preserve">die suidelike halfrond het in 2020 met 169 000 ton gegroei - meer as 2,4 keer die gemiddelde groei vanaf 2015 tot 2019. Dit was </w:t>
      </w:r>
      <w:r w:rsidR="00250D2E">
        <w:rPr>
          <w:rFonts w:asciiTheme="minorHAnsi" w:eastAsiaTheme="minorHAnsi" w:hAnsiTheme="minorHAnsi" w:cstheme="minorBidi"/>
          <w:noProof/>
          <w:sz w:val="21"/>
          <w:szCs w:val="21"/>
          <w:lang w:val="en-AU"/>
        </w:rPr>
        <w:t xml:space="preserve">weens </w:t>
      </w:r>
      <w:r w:rsidRPr="00810CC8">
        <w:rPr>
          <w:rFonts w:asciiTheme="minorHAnsi" w:eastAsiaTheme="minorHAnsi" w:hAnsiTheme="minorHAnsi" w:cstheme="minorBidi"/>
          <w:noProof/>
          <w:sz w:val="21"/>
          <w:szCs w:val="21"/>
          <w:lang w:val="en-AU"/>
        </w:rPr>
        <w:t>'n toename van 108 000 ton na Noord-Amerika en 44 000 ton na EU27 + VK, en 'n verdubbeling van volumes na Midde-Ooste. Asië het 'n effense afname getoon.</w:t>
      </w:r>
    </w:p>
    <w:p w:rsidR="00D51E40" w:rsidRPr="00810CC8" w:rsidRDefault="00D51E40" w:rsidP="001E6F79">
      <w:pPr>
        <w:pStyle w:val="ListParagraph"/>
        <w:numPr>
          <w:ilvl w:val="0"/>
          <w:numId w:val="5"/>
        </w:numPr>
        <w:spacing w:line="240" w:lineRule="auto"/>
        <w:jc w:val="both"/>
        <w:rPr>
          <w:rFonts w:asciiTheme="minorHAnsi" w:eastAsiaTheme="minorHAnsi" w:hAnsiTheme="minorHAnsi" w:cstheme="minorBidi"/>
          <w:noProof/>
          <w:sz w:val="21"/>
          <w:szCs w:val="21"/>
          <w:lang w:val="en-AU"/>
        </w:rPr>
      </w:pPr>
      <w:r w:rsidRPr="00810CC8">
        <w:rPr>
          <w:rFonts w:asciiTheme="minorHAnsi" w:eastAsiaTheme="minorHAnsi" w:hAnsiTheme="minorHAnsi" w:cstheme="minorBidi"/>
          <w:noProof/>
          <w:sz w:val="21"/>
          <w:szCs w:val="21"/>
          <w:lang w:val="en-AU"/>
        </w:rPr>
        <w:t>Suurlemoen</w:t>
      </w:r>
      <w:r w:rsidR="00250D2E">
        <w:rPr>
          <w:rFonts w:asciiTheme="minorHAnsi" w:eastAsiaTheme="minorHAnsi" w:hAnsiTheme="minorHAnsi" w:cstheme="minorBidi"/>
          <w:noProof/>
          <w:sz w:val="21"/>
          <w:szCs w:val="21"/>
          <w:lang w:val="en-AU"/>
        </w:rPr>
        <w:t>-</w:t>
      </w:r>
      <w:r w:rsidRPr="00810CC8">
        <w:rPr>
          <w:rFonts w:asciiTheme="minorHAnsi" w:eastAsiaTheme="minorHAnsi" w:hAnsiTheme="minorHAnsi" w:cstheme="minorBidi"/>
          <w:noProof/>
          <w:sz w:val="21"/>
          <w:szCs w:val="21"/>
          <w:lang w:val="en-AU"/>
        </w:rPr>
        <w:t>uitvoere vanaf die suidelike halfrond het met 120 000 ton toegeneem - EU27 + VK het met 59 000 ton toegeneem, die Midde-Ooste met 25 000 ton, Noord-Amerika met 13 000 ton en Oos-Europa met 19 000 ton.</w:t>
      </w:r>
    </w:p>
    <w:p w:rsidR="00D51E40" w:rsidRPr="00810CC8" w:rsidRDefault="00D51E40" w:rsidP="00821F18">
      <w:pPr>
        <w:pStyle w:val="ListParagraph"/>
        <w:numPr>
          <w:ilvl w:val="0"/>
          <w:numId w:val="5"/>
        </w:numPr>
        <w:spacing w:line="240" w:lineRule="auto"/>
        <w:jc w:val="both"/>
        <w:rPr>
          <w:rFonts w:asciiTheme="minorHAnsi" w:eastAsiaTheme="minorHAnsi" w:hAnsiTheme="minorHAnsi" w:cstheme="minorBidi"/>
          <w:noProof/>
          <w:sz w:val="21"/>
          <w:szCs w:val="21"/>
          <w:lang w:val="en-AU"/>
        </w:rPr>
      </w:pPr>
      <w:r w:rsidRPr="00810CC8">
        <w:rPr>
          <w:rFonts w:asciiTheme="minorHAnsi" w:eastAsiaTheme="minorHAnsi" w:hAnsiTheme="minorHAnsi" w:cstheme="minorBidi"/>
          <w:noProof/>
          <w:sz w:val="21"/>
          <w:szCs w:val="21"/>
          <w:lang w:val="en-AU"/>
        </w:rPr>
        <w:t xml:space="preserve">Die handel in lemoene </w:t>
      </w:r>
      <w:r w:rsidR="006A0DC3" w:rsidRPr="00810CC8">
        <w:rPr>
          <w:rFonts w:asciiTheme="minorHAnsi" w:eastAsiaTheme="minorHAnsi" w:hAnsiTheme="minorHAnsi" w:cstheme="minorBidi"/>
          <w:noProof/>
          <w:sz w:val="21"/>
          <w:szCs w:val="21"/>
          <w:lang w:val="en-AU"/>
        </w:rPr>
        <w:t>vanaf</w:t>
      </w:r>
      <w:r w:rsidRPr="00810CC8">
        <w:rPr>
          <w:rFonts w:asciiTheme="minorHAnsi" w:eastAsiaTheme="minorHAnsi" w:hAnsiTheme="minorHAnsi" w:cstheme="minorBidi"/>
          <w:noProof/>
          <w:sz w:val="21"/>
          <w:szCs w:val="21"/>
          <w:lang w:val="en-AU"/>
        </w:rPr>
        <w:t xml:space="preserve"> die suidelike halfrond het met 53 000 ton toegeneem (1,7 keer die gemiddelde tussen 2015 en 2019). Die EU27 + VK het met 95 000 ton toegeneem, die VSA met 30 000 ton. Asië het met 30 000 ton </w:t>
      </w:r>
      <w:r w:rsidR="00821F18">
        <w:rPr>
          <w:rFonts w:asciiTheme="minorHAnsi" w:eastAsiaTheme="minorHAnsi" w:hAnsiTheme="minorHAnsi" w:cstheme="minorBidi"/>
          <w:noProof/>
          <w:sz w:val="21"/>
          <w:szCs w:val="21"/>
          <w:lang w:val="en-AU"/>
        </w:rPr>
        <w:t>afgeneem</w:t>
      </w:r>
      <w:r w:rsidRPr="00810CC8">
        <w:rPr>
          <w:rFonts w:asciiTheme="minorHAnsi" w:eastAsiaTheme="minorHAnsi" w:hAnsiTheme="minorHAnsi" w:cstheme="minorBidi"/>
          <w:noProof/>
          <w:sz w:val="21"/>
          <w:szCs w:val="21"/>
          <w:lang w:val="en-AU"/>
        </w:rPr>
        <w:t>.</w:t>
      </w:r>
    </w:p>
    <w:p w:rsidR="00D51E40" w:rsidRPr="00810CC8" w:rsidRDefault="00D51E40" w:rsidP="00821F18">
      <w:pPr>
        <w:pStyle w:val="ListParagraph"/>
        <w:numPr>
          <w:ilvl w:val="0"/>
          <w:numId w:val="5"/>
        </w:numPr>
        <w:spacing w:line="240" w:lineRule="auto"/>
        <w:jc w:val="both"/>
        <w:rPr>
          <w:rFonts w:asciiTheme="minorHAnsi" w:eastAsiaTheme="minorHAnsi" w:hAnsiTheme="minorHAnsi" w:cstheme="minorBidi"/>
          <w:noProof/>
          <w:sz w:val="21"/>
          <w:szCs w:val="21"/>
          <w:lang w:val="en-AU"/>
        </w:rPr>
      </w:pPr>
      <w:r w:rsidRPr="00810CC8">
        <w:rPr>
          <w:rFonts w:asciiTheme="minorHAnsi" w:eastAsiaTheme="minorHAnsi" w:hAnsiTheme="minorHAnsi" w:cstheme="minorBidi"/>
          <w:noProof/>
          <w:sz w:val="21"/>
          <w:szCs w:val="21"/>
          <w:lang w:val="en-AU"/>
        </w:rPr>
        <w:t xml:space="preserve">Pomelo's is feitlik stabiel op 250 000 t. EU27 + VK het met 8 000 ton </w:t>
      </w:r>
      <w:r w:rsidR="00821F18">
        <w:rPr>
          <w:rFonts w:asciiTheme="minorHAnsi" w:eastAsiaTheme="minorHAnsi" w:hAnsiTheme="minorHAnsi" w:cstheme="minorBidi"/>
          <w:noProof/>
          <w:sz w:val="21"/>
          <w:szCs w:val="21"/>
          <w:lang w:val="en-AU"/>
        </w:rPr>
        <w:t>afgeneem</w:t>
      </w:r>
      <w:r w:rsidRPr="00810CC8">
        <w:rPr>
          <w:rFonts w:asciiTheme="minorHAnsi" w:eastAsiaTheme="minorHAnsi" w:hAnsiTheme="minorHAnsi" w:cstheme="minorBidi"/>
          <w:noProof/>
          <w:sz w:val="21"/>
          <w:szCs w:val="21"/>
          <w:lang w:val="en-AU"/>
        </w:rPr>
        <w:t xml:space="preserve"> en Asië met 9 000 ton.</w:t>
      </w:r>
    </w:p>
    <w:p w:rsidR="007B14A1" w:rsidRPr="00810CC8" w:rsidRDefault="007B14A1" w:rsidP="001E6F79">
      <w:pPr>
        <w:pStyle w:val="ListParagraph"/>
        <w:numPr>
          <w:ilvl w:val="0"/>
          <w:numId w:val="5"/>
        </w:numPr>
        <w:spacing w:line="240" w:lineRule="auto"/>
        <w:jc w:val="both"/>
        <w:rPr>
          <w:rFonts w:asciiTheme="minorHAnsi" w:eastAsiaTheme="minorHAnsi" w:hAnsiTheme="minorHAnsi"/>
          <w:noProof/>
          <w:sz w:val="21"/>
          <w:szCs w:val="21"/>
          <w:lang w:val="en-AU"/>
        </w:rPr>
      </w:pPr>
      <w:r w:rsidRPr="00810CC8">
        <w:rPr>
          <w:noProof/>
          <w:sz w:val="21"/>
          <w:szCs w:val="21"/>
          <w:lang w:val="en-AU"/>
        </w:rPr>
        <w:t xml:space="preserve">Gedurende die periode </w:t>
      </w:r>
      <w:r w:rsidR="001E6F79" w:rsidRPr="00810CC8">
        <w:rPr>
          <w:noProof/>
          <w:sz w:val="21"/>
          <w:szCs w:val="21"/>
          <w:lang w:val="en-AU"/>
        </w:rPr>
        <w:t xml:space="preserve">van </w:t>
      </w:r>
      <w:r w:rsidRPr="00810CC8">
        <w:rPr>
          <w:noProof/>
          <w:sz w:val="21"/>
          <w:szCs w:val="21"/>
          <w:lang w:val="en-AU"/>
        </w:rPr>
        <w:t>2016 tot 2020 het die suidelike halfrond se handel met 900 000 ton toegeneem. Twee derdes van die groei was vanuit Suid-Afrika, 15% uit Chili (meestal sagte sitrus), 14% uit Peru (meestal sagte sitrus) en 4% uit Australië (sagte sitrus en lemoene). Uruguay en Argentinië het 'n afname in die volume</w:t>
      </w:r>
      <w:r w:rsidR="00A76B08">
        <w:rPr>
          <w:noProof/>
          <w:sz w:val="21"/>
          <w:szCs w:val="21"/>
          <w:lang w:val="en-AU"/>
        </w:rPr>
        <w:t>,</w:t>
      </w:r>
      <w:r w:rsidRPr="00810CC8">
        <w:rPr>
          <w:noProof/>
          <w:sz w:val="21"/>
          <w:szCs w:val="21"/>
          <w:lang w:val="en-AU"/>
        </w:rPr>
        <w:t xml:space="preserve"> wat oor hierdie tydperk uitgevoer is, aangeteken.</w:t>
      </w:r>
    </w:p>
    <w:p w:rsidR="007B14A1" w:rsidRPr="00810CC8" w:rsidRDefault="007B14A1" w:rsidP="001E6F79">
      <w:pPr>
        <w:pStyle w:val="ListParagraph"/>
        <w:numPr>
          <w:ilvl w:val="0"/>
          <w:numId w:val="5"/>
        </w:numPr>
        <w:spacing w:line="240" w:lineRule="auto"/>
        <w:jc w:val="both"/>
        <w:rPr>
          <w:noProof/>
          <w:sz w:val="21"/>
          <w:szCs w:val="21"/>
          <w:lang w:val="en-AU"/>
        </w:rPr>
      </w:pPr>
      <w:r w:rsidRPr="00810CC8">
        <w:rPr>
          <w:noProof/>
          <w:sz w:val="21"/>
          <w:szCs w:val="21"/>
          <w:lang w:val="en-AU"/>
        </w:rPr>
        <w:t>Sitrusproduksie in die suidelike halfrond het tot 9,4 miljoen ton gestyg - 'n toename van 9% teenoor 2019. Alle lande behalwe Argentinië</w:t>
      </w:r>
      <w:r w:rsidR="001E6F79" w:rsidRPr="00810CC8">
        <w:rPr>
          <w:noProof/>
          <w:sz w:val="21"/>
          <w:szCs w:val="21"/>
          <w:lang w:val="en-AU"/>
        </w:rPr>
        <w:t>,</w:t>
      </w:r>
      <w:r w:rsidRPr="00810CC8">
        <w:rPr>
          <w:noProof/>
          <w:sz w:val="21"/>
          <w:szCs w:val="21"/>
          <w:lang w:val="en-AU"/>
        </w:rPr>
        <w:t xml:space="preserve"> het stygings in produksie aangeteken.</w:t>
      </w:r>
    </w:p>
    <w:p w:rsidR="007B14A1" w:rsidRPr="00810CC8" w:rsidRDefault="007B14A1" w:rsidP="00F143A6">
      <w:pPr>
        <w:pStyle w:val="ListParagraph"/>
        <w:numPr>
          <w:ilvl w:val="0"/>
          <w:numId w:val="5"/>
        </w:numPr>
        <w:spacing w:line="240" w:lineRule="auto"/>
        <w:jc w:val="both"/>
        <w:rPr>
          <w:noProof/>
          <w:sz w:val="21"/>
          <w:szCs w:val="21"/>
          <w:lang w:val="en-AU"/>
        </w:rPr>
      </w:pPr>
      <w:r w:rsidRPr="00810CC8">
        <w:rPr>
          <w:noProof/>
          <w:sz w:val="21"/>
          <w:szCs w:val="21"/>
          <w:lang w:val="en-AU"/>
        </w:rPr>
        <w:t xml:space="preserve">As na 2021 gekyk word, word verwag dat sagte sitrus en lemoene met nog 200 000 ton sal </w:t>
      </w:r>
      <w:r w:rsidR="00F143A6">
        <w:rPr>
          <w:noProof/>
          <w:sz w:val="21"/>
          <w:szCs w:val="21"/>
          <w:lang w:val="en-AU"/>
        </w:rPr>
        <w:t>toeneem</w:t>
      </w:r>
      <w:r w:rsidRPr="00810CC8">
        <w:rPr>
          <w:noProof/>
          <w:sz w:val="21"/>
          <w:szCs w:val="21"/>
          <w:lang w:val="en-AU"/>
        </w:rPr>
        <w:t xml:space="preserve">, suurlemoene met 100 000 ton terwyl wit pomelo’s weer amper stabiel is. Dit kom neer op 'n toename van 12% in die lemoen-uitvoere (vergeleke met 2020); 20% toename in sagte </w:t>
      </w:r>
      <w:r w:rsidR="001E6F79" w:rsidRPr="00810CC8">
        <w:rPr>
          <w:noProof/>
          <w:sz w:val="21"/>
          <w:szCs w:val="21"/>
          <w:lang w:val="en-AU"/>
        </w:rPr>
        <w:t>s</w:t>
      </w:r>
      <w:r w:rsidR="000F17B2">
        <w:rPr>
          <w:noProof/>
          <w:sz w:val="21"/>
          <w:szCs w:val="21"/>
          <w:lang w:val="en-AU"/>
        </w:rPr>
        <w:t>itrus-</w:t>
      </w:r>
      <w:r w:rsidRPr="00810CC8">
        <w:rPr>
          <w:noProof/>
          <w:sz w:val="21"/>
          <w:szCs w:val="21"/>
          <w:lang w:val="en-AU"/>
        </w:rPr>
        <w:t>uitvoere; 7% toename in suurlemoen</w:t>
      </w:r>
      <w:r w:rsidR="000F17B2">
        <w:rPr>
          <w:noProof/>
          <w:sz w:val="21"/>
          <w:szCs w:val="21"/>
          <w:lang w:val="en-AU"/>
        </w:rPr>
        <w:t>-</w:t>
      </w:r>
      <w:r w:rsidRPr="00810CC8">
        <w:rPr>
          <w:noProof/>
          <w:sz w:val="21"/>
          <w:szCs w:val="21"/>
          <w:lang w:val="en-AU"/>
        </w:rPr>
        <w:t>uitvoere en 10% toename in pomelo-uitvoere.</w:t>
      </w:r>
    </w:p>
    <w:p w:rsidR="007B14A1" w:rsidRPr="00810CC8" w:rsidRDefault="007B14A1" w:rsidP="001E6F79">
      <w:pPr>
        <w:pStyle w:val="ListParagraph"/>
        <w:numPr>
          <w:ilvl w:val="0"/>
          <w:numId w:val="5"/>
        </w:numPr>
        <w:spacing w:line="240" w:lineRule="auto"/>
        <w:jc w:val="both"/>
        <w:rPr>
          <w:noProof/>
          <w:sz w:val="21"/>
          <w:szCs w:val="21"/>
          <w:lang w:val="en-AU"/>
        </w:rPr>
      </w:pPr>
      <w:r w:rsidRPr="00810CC8">
        <w:rPr>
          <w:noProof/>
          <w:sz w:val="21"/>
          <w:szCs w:val="21"/>
          <w:lang w:val="en-AU"/>
        </w:rPr>
        <w:t>Wat boorde in die suidelike halfrond betref, is die area onder lemoene (136 000 hektaar) en pomelo’s (13 400 ha) stabiel. Suurlemoene het van 60 000 ha in 2012 tot 86 000 ha in 2020 toegeneem. Net so het sagte sitrus van 64 000 ha (2012) tot 85 000 ha (2020) toegeneem.</w:t>
      </w:r>
    </w:p>
    <w:p w:rsidR="007B14A1" w:rsidRPr="00810CC8" w:rsidRDefault="007B14A1" w:rsidP="008F753A">
      <w:pPr>
        <w:pStyle w:val="ListParagraph"/>
        <w:numPr>
          <w:ilvl w:val="0"/>
          <w:numId w:val="5"/>
        </w:numPr>
        <w:spacing w:line="240" w:lineRule="auto"/>
        <w:jc w:val="both"/>
        <w:rPr>
          <w:noProof/>
          <w:sz w:val="21"/>
          <w:szCs w:val="21"/>
          <w:lang w:val="en-AU"/>
        </w:rPr>
      </w:pPr>
      <w:r w:rsidRPr="00810CC8">
        <w:rPr>
          <w:noProof/>
          <w:sz w:val="21"/>
          <w:szCs w:val="21"/>
          <w:lang w:val="en-AU"/>
        </w:rPr>
        <w:t xml:space="preserve">As daar na die noordelike halfrond gekyk word  - 2020/21 sal 'n gemiddelde tot ligte oes wees. Die produksie van die Mediterreense lande sal met 3% hoër as die 4-jaar gemiddelde </w:t>
      </w:r>
      <w:r w:rsidR="001E6F79" w:rsidRPr="00810CC8">
        <w:rPr>
          <w:noProof/>
          <w:sz w:val="21"/>
          <w:szCs w:val="21"/>
          <w:lang w:val="en-AU"/>
        </w:rPr>
        <w:t>wees</w:t>
      </w:r>
      <w:r w:rsidRPr="00810CC8">
        <w:rPr>
          <w:noProof/>
          <w:sz w:val="21"/>
          <w:szCs w:val="21"/>
          <w:lang w:val="en-AU"/>
        </w:rPr>
        <w:t>; lemoene 6%</w:t>
      </w:r>
      <w:r w:rsidR="001E6F79" w:rsidRPr="00810CC8">
        <w:rPr>
          <w:noProof/>
          <w:sz w:val="21"/>
          <w:szCs w:val="21"/>
          <w:lang w:val="en-AU"/>
        </w:rPr>
        <w:t xml:space="preserve"> af</w:t>
      </w:r>
      <w:r w:rsidRPr="00810CC8">
        <w:rPr>
          <w:noProof/>
          <w:sz w:val="21"/>
          <w:szCs w:val="21"/>
          <w:lang w:val="en-AU"/>
        </w:rPr>
        <w:t xml:space="preserve">; suurlemoene </w:t>
      </w:r>
      <w:r w:rsidR="001E6F79" w:rsidRPr="00810CC8">
        <w:rPr>
          <w:noProof/>
          <w:sz w:val="21"/>
          <w:szCs w:val="21"/>
          <w:lang w:val="en-AU"/>
        </w:rPr>
        <w:t xml:space="preserve">af </w:t>
      </w:r>
      <w:r w:rsidRPr="00810CC8">
        <w:rPr>
          <w:noProof/>
          <w:sz w:val="21"/>
          <w:szCs w:val="21"/>
          <w:lang w:val="en-AU"/>
        </w:rPr>
        <w:t xml:space="preserve">met 4% en pomelo's af met 13%. Vir die VSA is die produksie van sagte sitrus met 2% </w:t>
      </w:r>
      <w:r w:rsidR="008F753A">
        <w:rPr>
          <w:noProof/>
          <w:sz w:val="21"/>
          <w:szCs w:val="21"/>
          <w:lang w:val="en-AU"/>
        </w:rPr>
        <w:t>af</w:t>
      </w:r>
      <w:r w:rsidRPr="00810CC8">
        <w:rPr>
          <w:noProof/>
          <w:sz w:val="21"/>
          <w:szCs w:val="21"/>
          <w:lang w:val="en-AU"/>
        </w:rPr>
        <w:t xml:space="preserve">; lemoene met 3% </w:t>
      </w:r>
      <w:r w:rsidR="008F753A">
        <w:rPr>
          <w:noProof/>
          <w:sz w:val="21"/>
          <w:szCs w:val="21"/>
          <w:lang w:val="en-AU"/>
        </w:rPr>
        <w:t>op</w:t>
      </w:r>
      <w:r w:rsidRPr="00810CC8">
        <w:rPr>
          <w:noProof/>
          <w:sz w:val="21"/>
          <w:szCs w:val="21"/>
          <w:lang w:val="en-AU"/>
        </w:rPr>
        <w:t xml:space="preserve">; suurlemoene met 5% </w:t>
      </w:r>
      <w:r w:rsidR="008F753A">
        <w:rPr>
          <w:noProof/>
          <w:sz w:val="21"/>
          <w:szCs w:val="21"/>
          <w:lang w:val="en-AU"/>
        </w:rPr>
        <w:t>op</w:t>
      </w:r>
      <w:r w:rsidR="001E6F79" w:rsidRPr="00810CC8">
        <w:rPr>
          <w:noProof/>
          <w:sz w:val="21"/>
          <w:szCs w:val="21"/>
          <w:lang w:val="en-AU"/>
        </w:rPr>
        <w:t xml:space="preserve"> </w:t>
      </w:r>
      <w:r w:rsidRPr="00810CC8">
        <w:rPr>
          <w:noProof/>
          <w:sz w:val="21"/>
          <w:szCs w:val="21"/>
          <w:lang w:val="en-AU"/>
        </w:rPr>
        <w:t>en pomelo’s af met 9%. Die produksie van China het min verander - geen verandering in sagte sitrus en 1% toename in lemoene.</w:t>
      </w:r>
    </w:p>
    <w:p w:rsidR="007B14A1" w:rsidRPr="00810CC8" w:rsidRDefault="007B14A1" w:rsidP="001E6F79">
      <w:pPr>
        <w:pStyle w:val="ListParagraph"/>
        <w:numPr>
          <w:ilvl w:val="0"/>
          <w:numId w:val="5"/>
        </w:numPr>
        <w:spacing w:line="240" w:lineRule="auto"/>
        <w:jc w:val="both"/>
        <w:rPr>
          <w:noProof/>
          <w:sz w:val="21"/>
          <w:szCs w:val="21"/>
          <w:lang w:val="en-AU"/>
        </w:rPr>
      </w:pPr>
      <w:r w:rsidRPr="00810CC8">
        <w:rPr>
          <w:noProof/>
          <w:sz w:val="21"/>
          <w:szCs w:val="21"/>
          <w:lang w:val="en-AU"/>
        </w:rPr>
        <w:t>Wat die mededingende vrugte betref, voorspel Europa 'n baie kort steenvrugte-oes.</w:t>
      </w:r>
    </w:p>
    <w:p w:rsidR="00810CC8" w:rsidRPr="00810CC8" w:rsidRDefault="00810CC8" w:rsidP="00810CC8">
      <w:pPr>
        <w:pStyle w:val="ListParagraph"/>
        <w:spacing w:after="0"/>
        <w:ind w:left="360" w:hanging="360"/>
        <w:rPr>
          <w:rFonts w:asciiTheme="minorHAnsi" w:eastAsia="Times New Roman" w:hAnsiTheme="minorHAnsi" w:cstheme="minorHAnsi"/>
          <w:b/>
          <w:bCs/>
          <w:color w:val="7030A0"/>
          <w:u w:val="single"/>
          <w:lang w:val="en-US"/>
        </w:rPr>
      </w:pPr>
      <w:r w:rsidRPr="00810CC8">
        <w:rPr>
          <w:rFonts w:asciiTheme="minorHAnsi" w:eastAsia="Times New Roman" w:hAnsiTheme="minorHAnsi" w:cstheme="minorHAnsi"/>
          <w:b/>
          <w:bCs/>
          <w:color w:val="7030A0"/>
          <w:u w:val="single"/>
          <w:lang w:val="en-US"/>
        </w:rPr>
        <w:t>GEPAK EN VERSKEEP</w:t>
      </w:r>
    </w:p>
    <w:p w:rsidR="00E80028" w:rsidRPr="00603FFA" w:rsidRDefault="00810CC8" w:rsidP="006011F0">
      <w:pPr>
        <w:pStyle w:val="ListParagraph"/>
        <w:spacing w:after="0" w:line="240" w:lineRule="auto"/>
        <w:ind w:left="0"/>
        <w:jc w:val="both"/>
        <w:rPr>
          <w:rFonts w:asciiTheme="minorHAnsi" w:eastAsia="Times New Roman" w:hAnsiTheme="minorHAnsi" w:cstheme="minorHAnsi"/>
          <w:lang w:val="en-US"/>
        </w:rPr>
      </w:pPr>
      <w:r w:rsidRPr="00810CC8">
        <w:rPr>
          <w:rFonts w:asciiTheme="minorHAnsi" w:eastAsia="Times New Roman" w:hAnsiTheme="minorHAnsi" w:cstheme="minorHAnsi"/>
          <w:noProof/>
          <w:lang w:val="en-AU"/>
        </w:rPr>
        <w:t xml:space="preserve">Daar was 'n paar klein veranderinge </w:t>
      </w:r>
      <w:r>
        <w:rPr>
          <w:rFonts w:asciiTheme="minorHAnsi" w:eastAsia="Times New Roman" w:hAnsiTheme="minorHAnsi" w:cstheme="minorHAnsi"/>
          <w:noProof/>
          <w:lang w:val="en-AU"/>
        </w:rPr>
        <w:t xml:space="preserve">aan die </w:t>
      </w:r>
      <w:r w:rsidRPr="00810CC8">
        <w:rPr>
          <w:rFonts w:asciiTheme="minorHAnsi" w:eastAsia="Times New Roman" w:hAnsiTheme="minorHAnsi" w:cstheme="minorHAnsi"/>
          <w:noProof/>
          <w:lang w:val="en-AU"/>
        </w:rPr>
        <w:t>voorspellings vir 2021. Alhoewel lemoene bestendig bly, het die Pom</w:t>
      </w:r>
      <w:r>
        <w:rPr>
          <w:rFonts w:asciiTheme="minorHAnsi" w:eastAsia="Times New Roman" w:hAnsiTheme="minorHAnsi" w:cstheme="minorHAnsi"/>
          <w:noProof/>
          <w:lang w:val="en-AU"/>
        </w:rPr>
        <w:t>elo</w:t>
      </w:r>
      <w:r w:rsidRPr="00810CC8">
        <w:rPr>
          <w:rFonts w:asciiTheme="minorHAnsi" w:eastAsia="Times New Roman" w:hAnsiTheme="minorHAnsi" w:cstheme="minorHAnsi"/>
          <w:noProof/>
          <w:lang w:val="en-AU"/>
        </w:rPr>
        <w:t xml:space="preserve"> Fokusgroep hul voorspelling met 1 miljoen kartonne verminder. Met 'n klein opwaartse aanpassing bly die voorspelling van die Sagte Sitrus Fokusgroep op 1 miljoen kartonne minder as wat geskat is; terwyl die Suurlemoen Fokusgroep se voorspelling met 200 000 kartonne verminder is.</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8"/>
        <w:gridCol w:w="877"/>
        <w:gridCol w:w="810"/>
        <w:gridCol w:w="1080"/>
        <w:gridCol w:w="1080"/>
        <w:gridCol w:w="990"/>
        <w:gridCol w:w="1350"/>
        <w:gridCol w:w="1347"/>
        <w:gridCol w:w="1104"/>
      </w:tblGrid>
      <w:tr w:rsidR="006011F0" w:rsidRPr="005250EE" w:rsidTr="006011F0">
        <w:trPr>
          <w:trHeight w:val="401"/>
        </w:trPr>
        <w:tc>
          <w:tcPr>
            <w:tcW w:w="1818" w:type="dxa"/>
          </w:tcPr>
          <w:p w:rsidR="00E202E6" w:rsidRPr="005250EE" w:rsidRDefault="00E202E6" w:rsidP="005250EE">
            <w:pPr>
              <w:spacing w:after="0" w:line="240" w:lineRule="auto"/>
              <w:rPr>
                <w:rFonts w:ascii="Arial" w:hAnsi="Arial" w:cs="Arial"/>
                <w:noProof/>
                <w:sz w:val="18"/>
                <w:szCs w:val="18"/>
                <w:lang w:val="en-AU"/>
              </w:rPr>
            </w:pPr>
            <w:r w:rsidRPr="005250EE">
              <w:rPr>
                <w:rFonts w:ascii="Arial" w:hAnsi="Arial" w:cs="Arial"/>
                <w:noProof/>
                <w:sz w:val="18"/>
                <w:szCs w:val="18"/>
                <w:lang w:val="en-AU"/>
              </w:rPr>
              <w:t>To</w:t>
            </w:r>
            <w:r w:rsidR="005250EE">
              <w:rPr>
                <w:rFonts w:ascii="Arial" w:hAnsi="Arial" w:cs="Arial"/>
                <w:noProof/>
                <w:sz w:val="18"/>
                <w:szCs w:val="18"/>
                <w:lang w:val="en-AU"/>
              </w:rPr>
              <w:t xml:space="preserve">t einde </w:t>
            </w:r>
            <w:r w:rsidRPr="005250EE">
              <w:rPr>
                <w:rFonts w:ascii="Arial" w:hAnsi="Arial" w:cs="Arial"/>
                <w:noProof/>
                <w:sz w:val="18"/>
                <w:szCs w:val="18"/>
                <w:lang w:val="en-AU"/>
              </w:rPr>
              <w:t>Week 19</w:t>
            </w:r>
          </w:p>
          <w:p w:rsidR="00E202E6" w:rsidRPr="005250EE" w:rsidRDefault="00E202E6" w:rsidP="005250EE">
            <w:pPr>
              <w:spacing w:after="0" w:line="240" w:lineRule="auto"/>
              <w:rPr>
                <w:rFonts w:ascii="Arial" w:hAnsi="Arial" w:cs="Arial"/>
                <w:noProof/>
                <w:sz w:val="18"/>
                <w:szCs w:val="18"/>
                <w:lang w:val="en-AU"/>
              </w:rPr>
            </w:pPr>
            <w:r w:rsidRPr="005250EE">
              <w:rPr>
                <w:rFonts w:ascii="Arial" w:hAnsi="Arial" w:cs="Arial"/>
                <w:noProof/>
                <w:sz w:val="18"/>
                <w:szCs w:val="18"/>
                <w:lang w:val="en-AU"/>
              </w:rPr>
              <w:t>Mil</w:t>
            </w:r>
            <w:r w:rsidR="005250EE">
              <w:rPr>
                <w:rFonts w:ascii="Arial" w:hAnsi="Arial" w:cs="Arial"/>
                <w:noProof/>
                <w:sz w:val="18"/>
                <w:szCs w:val="18"/>
                <w:lang w:val="en-AU"/>
              </w:rPr>
              <w:t xml:space="preserve">joen </w:t>
            </w:r>
            <w:r w:rsidRPr="005250EE">
              <w:rPr>
                <w:rFonts w:ascii="Arial" w:hAnsi="Arial" w:cs="Arial"/>
                <w:noProof/>
                <w:sz w:val="18"/>
                <w:szCs w:val="18"/>
                <w:lang w:val="en-AU"/>
              </w:rPr>
              <w:t xml:space="preserve">15 Kg </w:t>
            </w:r>
            <w:r w:rsidR="005250EE">
              <w:rPr>
                <w:rFonts w:ascii="Arial" w:hAnsi="Arial" w:cs="Arial"/>
                <w:noProof/>
                <w:sz w:val="18"/>
                <w:szCs w:val="18"/>
                <w:lang w:val="en-AU"/>
              </w:rPr>
              <w:t xml:space="preserve">Kartonne </w:t>
            </w:r>
          </w:p>
        </w:tc>
        <w:tc>
          <w:tcPr>
            <w:tcW w:w="877" w:type="dxa"/>
            <w:shd w:val="clear" w:color="auto" w:fill="CCCCCC"/>
          </w:tcPr>
          <w:p w:rsidR="00E202E6" w:rsidRPr="005250EE" w:rsidRDefault="005250EE" w:rsidP="005250EE">
            <w:pPr>
              <w:spacing w:after="0" w:line="240" w:lineRule="auto"/>
              <w:jc w:val="right"/>
              <w:rPr>
                <w:rFonts w:ascii="Arial" w:hAnsi="Arial" w:cs="Arial"/>
                <w:noProof/>
                <w:sz w:val="18"/>
                <w:szCs w:val="18"/>
                <w:lang w:val="en-AU"/>
              </w:rPr>
            </w:pPr>
            <w:r>
              <w:rPr>
                <w:rFonts w:ascii="Arial" w:hAnsi="Arial" w:cs="Arial"/>
                <w:noProof/>
                <w:sz w:val="18"/>
                <w:szCs w:val="18"/>
                <w:lang w:val="en-AU"/>
              </w:rPr>
              <w:t>Gepak</w:t>
            </w:r>
            <w:r w:rsidR="00E202E6" w:rsidRPr="005250EE">
              <w:rPr>
                <w:rFonts w:ascii="Arial" w:hAnsi="Arial" w:cs="Arial"/>
                <w:noProof/>
                <w:sz w:val="18"/>
                <w:szCs w:val="18"/>
                <w:lang w:val="en-AU"/>
              </w:rPr>
              <w:t xml:space="preserve"> </w:t>
            </w:r>
          </w:p>
        </w:tc>
        <w:tc>
          <w:tcPr>
            <w:tcW w:w="810" w:type="dxa"/>
            <w:tcBorders>
              <w:right w:val="thinThickSmallGap" w:sz="24" w:space="0" w:color="auto"/>
            </w:tcBorders>
            <w:shd w:val="clear" w:color="auto" w:fill="CCCCCC"/>
          </w:tcPr>
          <w:p w:rsidR="00E202E6" w:rsidRPr="005250EE" w:rsidRDefault="005250EE" w:rsidP="005250EE">
            <w:pPr>
              <w:spacing w:after="0" w:line="240" w:lineRule="auto"/>
              <w:jc w:val="right"/>
              <w:rPr>
                <w:rFonts w:ascii="Arial" w:hAnsi="Arial" w:cs="Arial"/>
                <w:noProof/>
                <w:sz w:val="18"/>
                <w:szCs w:val="18"/>
                <w:lang w:val="en-AU"/>
              </w:rPr>
            </w:pPr>
            <w:r>
              <w:rPr>
                <w:rFonts w:ascii="Arial" w:hAnsi="Arial" w:cs="Arial"/>
                <w:noProof/>
                <w:sz w:val="18"/>
                <w:szCs w:val="18"/>
                <w:lang w:val="en-AU"/>
              </w:rPr>
              <w:t>Gepak</w:t>
            </w:r>
          </w:p>
        </w:tc>
        <w:tc>
          <w:tcPr>
            <w:tcW w:w="1080"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E202E6" w:rsidRPr="005250EE" w:rsidRDefault="005250EE" w:rsidP="005250EE">
            <w:pPr>
              <w:spacing w:after="0" w:line="240" w:lineRule="auto"/>
              <w:jc w:val="right"/>
              <w:rPr>
                <w:rFonts w:ascii="Arial" w:hAnsi="Arial" w:cs="Arial"/>
                <w:noProof/>
                <w:sz w:val="18"/>
                <w:szCs w:val="18"/>
                <w:lang w:val="en-AU"/>
              </w:rPr>
            </w:pPr>
            <w:r>
              <w:rPr>
                <w:rFonts w:ascii="Arial" w:hAnsi="Arial" w:cs="Arial"/>
                <w:noProof/>
                <w:sz w:val="18"/>
                <w:szCs w:val="18"/>
                <w:lang w:val="en-AU"/>
              </w:rPr>
              <w:t>Gepak</w:t>
            </w:r>
          </w:p>
        </w:tc>
        <w:tc>
          <w:tcPr>
            <w:tcW w:w="1080" w:type="dxa"/>
            <w:tcBorders>
              <w:left w:val="thinThickSmallGap" w:sz="24" w:space="0" w:color="auto"/>
              <w:right w:val="thinThickSmallGap" w:sz="24" w:space="0" w:color="auto"/>
            </w:tcBorders>
            <w:shd w:val="clear" w:color="auto" w:fill="E6E6E6"/>
          </w:tcPr>
          <w:p w:rsidR="00E202E6" w:rsidRPr="005250EE" w:rsidRDefault="005250EE" w:rsidP="005250EE">
            <w:pPr>
              <w:spacing w:after="0" w:line="240" w:lineRule="auto"/>
              <w:jc w:val="right"/>
              <w:rPr>
                <w:rFonts w:ascii="Arial" w:hAnsi="Arial" w:cs="Arial"/>
                <w:noProof/>
                <w:sz w:val="18"/>
                <w:szCs w:val="18"/>
                <w:lang w:val="en-AU"/>
              </w:rPr>
            </w:pPr>
            <w:r>
              <w:rPr>
                <w:rFonts w:ascii="Arial" w:hAnsi="Arial" w:cs="Arial"/>
                <w:noProof/>
                <w:sz w:val="18"/>
                <w:szCs w:val="18"/>
                <w:lang w:val="en-AU"/>
              </w:rPr>
              <w:t>Verskeep</w:t>
            </w:r>
          </w:p>
        </w:tc>
        <w:tc>
          <w:tcPr>
            <w:tcW w:w="990" w:type="dxa"/>
            <w:tcBorders>
              <w:top w:val="thinThickSmallGap" w:sz="24" w:space="0" w:color="auto"/>
              <w:left w:val="thinThickSmallGap" w:sz="24" w:space="0" w:color="auto"/>
              <w:right w:val="thinThickSmallGap" w:sz="24" w:space="0" w:color="auto"/>
            </w:tcBorders>
            <w:shd w:val="clear" w:color="auto" w:fill="E6E6E6"/>
          </w:tcPr>
          <w:p w:rsidR="00E202E6" w:rsidRPr="005250EE" w:rsidRDefault="005250EE" w:rsidP="005250EE">
            <w:pPr>
              <w:spacing w:after="0" w:line="240" w:lineRule="auto"/>
              <w:jc w:val="right"/>
              <w:rPr>
                <w:rFonts w:ascii="Arial" w:hAnsi="Arial" w:cs="Arial"/>
                <w:noProof/>
                <w:sz w:val="18"/>
                <w:szCs w:val="18"/>
                <w:lang w:val="en-AU"/>
              </w:rPr>
            </w:pPr>
            <w:r>
              <w:rPr>
                <w:rFonts w:ascii="Arial" w:hAnsi="Arial" w:cs="Arial"/>
                <w:noProof/>
                <w:sz w:val="18"/>
                <w:szCs w:val="18"/>
                <w:lang w:val="en-AU"/>
              </w:rPr>
              <w:t>Verskeep</w:t>
            </w:r>
          </w:p>
        </w:tc>
        <w:tc>
          <w:tcPr>
            <w:tcW w:w="1350" w:type="dxa"/>
            <w:tcBorders>
              <w:left w:val="thinThickSmallGap" w:sz="24" w:space="0" w:color="auto"/>
            </w:tcBorders>
            <w:shd w:val="clear" w:color="auto" w:fill="E6E6E6"/>
          </w:tcPr>
          <w:p w:rsidR="00E202E6" w:rsidRPr="005250EE" w:rsidRDefault="005250EE" w:rsidP="005250EE">
            <w:pPr>
              <w:spacing w:after="0" w:line="240" w:lineRule="auto"/>
              <w:jc w:val="right"/>
              <w:rPr>
                <w:rFonts w:ascii="Arial" w:hAnsi="Arial" w:cs="Arial"/>
                <w:noProof/>
                <w:sz w:val="18"/>
                <w:szCs w:val="18"/>
                <w:lang w:val="en-AU"/>
              </w:rPr>
            </w:pPr>
            <w:r>
              <w:rPr>
                <w:rFonts w:ascii="Arial" w:hAnsi="Arial" w:cs="Arial"/>
                <w:noProof/>
                <w:sz w:val="18"/>
                <w:szCs w:val="18"/>
                <w:lang w:val="en-AU"/>
              </w:rPr>
              <w:t>Aanvanklike Skatting</w:t>
            </w:r>
          </w:p>
        </w:tc>
        <w:tc>
          <w:tcPr>
            <w:tcW w:w="1347" w:type="dxa"/>
            <w:shd w:val="clear" w:color="auto" w:fill="E6E6E6"/>
          </w:tcPr>
          <w:p w:rsidR="00E202E6" w:rsidRPr="005250EE" w:rsidRDefault="005250EE" w:rsidP="005250EE">
            <w:pPr>
              <w:spacing w:after="0" w:line="240" w:lineRule="auto"/>
              <w:jc w:val="right"/>
              <w:rPr>
                <w:rFonts w:ascii="Arial" w:hAnsi="Arial" w:cs="Arial"/>
                <w:noProof/>
                <w:sz w:val="18"/>
                <w:szCs w:val="18"/>
                <w:lang w:val="en-AU"/>
              </w:rPr>
            </w:pPr>
            <w:r>
              <w:rPr>
                <w:rFonts w:ascii="Arial" w:hAnsi="Arial" w:cs="Arial"/>
                <w:noProof/>
                <w:sz w:val="18"/>
                <w:szCs w:val="18"/>
                <w:lang w:val="en-AU"/>
              </w:rPr>
              <w:t>Nuutste Voorspelling</w:t>
            </w:r>
          </w:p>
        </w:tc>
        <w:tc>
          <w:tcPr>
            <w:tcW w:w="1104" w:type="dxa"/>
            <w:shd w:val="clear" w:color="auto" w:fill="E6E6E6"/>
          </w:tcPr>
          <w:p w:rsidR="00E202E6" w:rsidRPr="005250EE" w:rsidRDefault="00E202E6" w:rsidP="005250EE">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Fin</w:t>
            </w:r>
            <w:r w:rsidR="005250EE">
              <w:rPr>
                <w:rFonts w:ascii="Arial" w:hAnsi="Arial" w:cs="Arial"/>
                <w:noProof/>
                <w:sz w:val="18"/>
                <w:szCs w:val="18"/>
                <w:lang w:val="en-AU"/>
              </w:rPr>
              <w:t>a</w:t>
            </w:r>
            <w:r w:rsidRPr="005250EE">
              <w:rPr>
                <w:rFonts w:ascii="Arial" w:hAnsi="Arial" w:cs="Arial"/>
                <w:noProof/>
                <w:sz w:val="18"/>
                <w:szCs w:val="18"/>
                <w:lang w:val="en-AU"/>
              </w:rPr>
              <w:t xml:space="preserve">al </w:t>
            </w:r>
            <w:r w:rsidR="005250EE">
              <w:rPr>
                <w:rFonts w:ascii="Arial" w:hAnsi="Arial" w:cs="Arial"/>
                <w:noProof/>
                <w:sz w:val="18"/>
                <w:szCs w:val="18"/>
                <w:lang w:val="en-AU"/>
              </w:rPr>
              <w:t>Gepak</w:t>
            </w:r>
          </w:p>
          <w:p w:rsidR="00E202E6" w:rsidRPr="005250EE" w:rsidRDefault="00E202E6" w:rsidP="001307F6">
            <w:pPr>
              <w:spacing w:after="0" w:line="240" w:lineRule="auto"/>
              <w:jc w:val="right"/>
              <w:rPr>
                <w:rFonts w:ascii="Arial" w:hAnsi="Arial" w:cs="Arial"/>
                <w:noProof/>
                <w:sz w:val="18"/>
                <w:szCs w:val="18"/>
                <w:lang w:val="en-AU"/>
              </w:rPr>
            </w:pPr>
          </w:p>
        </w:tc>
      </w:tr>
      <w:tr w:rsidR="006011F0" w:rsidRPr="005250EE" w:rsidTr="006011F0">
        <w:trPr>
          <w:trHeight w:val="200"/>
        </w:trPr>
        <w:tc>
          <w:tcPr>
            <w:tcW w:w="1818" w:type="dxa"/>
          </w:tcPr>
          <w:p w:rsidR="00E202E6" w:rsidRPr="005250EE" w:rsidRDefault="005250EE" w:rsidP="005250EE">
            <w:pPr>
              <w:spacing w:after="0" w:line="240" w:lineRule="auto"/>
              <w:rPr>
                <w:rFonts w:ascii="Arial" w:hAnsi="Arial" w:cs="Arial"/>
                <w:b/>
                <w:noProof/>
                <w:sz w:val="18"/>
                <w:szCs w:val="18"/>
                <w:lang w:val="en-AU"/>
              </w:rPr>
            </w:pPr>
            <w:r>
              <w:rPr>
                <w:rFonts w:ascii="Arial" w:hAnsi="Arial" w:cs="Arial"/>
                <w:b/>
                <w:noProof/>
                <w:sz w:val="18"/>
                <w:szCs w:val="18"/>
                <w:lang w:val="en-AU"/>
              </w:rPr>
              <w:t>BRON</w:t>
            </w:r>
            <w:r w:rsidR="00E202E6" w:rsidRPr="005250EE">
              <w:rPr>
                <w:rFonts w:ascii="Arial" w:hAnsi="Arial" w:cs="Arial"/>
                <w:b/>
                <w:noProof/>
                <w:sz w:val="18"/>
                <w:szCs w:val="18"/>
                <w:lang w:val="en-AU"/>
              </w:rPr>
              <w:t>: PPECB</w:t>
            </w:r>
          </w:p>
        </w:tc>
        <w:tc>
          <w:tcPr>
            <w:tcW w:w="877" w:type="dxa"/>
            <w:shd w:val="clear" w:color="auto" w:fill="CCCCCC"/>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2019</w:t>
            </w:r>
          </w:p>
        </w:tc>
        <w:tc>
          <w:tcPr>
            <w:tcW w:w="810" w:type="dxa"/>
            <w:tcBorders>
              <w:right w:val="thinThickSmallGap" w:sz="24" w:space="0" w:color="auto"/>
            </w:tcBorders>
            <w:shd w:val="clear" w:color="auto" w:fill="CCCCCC"/>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2020</w:t>
            </w:r>
          </w:p>
        </w:tc>
        <w:tc>
          <w:tcPr>
            <w:tcW w:w="1080" w:type="dxa"/>
            <w:tcBorders>
              <w:top w:val="single" w:sz="4" w:space="0" w:color="auto"/>
              <w:left w:val="thinThickSmallGap" w:sz="24" w:space="0" w:color="auto"/>
              <w:bottom w:val="single" w:sz="4" w:space="0" w:color="auto"/>
              <w:right w:val="thinThickSmallGap" w:sz="24" w:space="0" w:color="auto"/>
            </w:tcBorders>
            <w:shd w:val="clear" w:color="auto" w:fill="CCCCCC"/>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2021</w:t>
            </w:r>
          </w:p>
        </w:tc>
        <w:tc>
          <w:tcPr>
            <w:tcW w:w="108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2020</w:t>
            </w:r>
          </w:p>
        </w:tc>
        <w:tc>
          <w:tcPr>
            <w:tcW w:w="99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2021</w:t>
            </w:r>
          </w:p>
        </w:tc>
        <w:tc>
          <w:tcPr>
            <w:tcW w:w="1350" w:type="dxa"/>
            <w:tcBorders>
              <w:lef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2021</w:t>
            </w:r>
          </w:p>
        </w:tc>
        <w:tc>
          <w:tcPr>
            <w:tcW w:w="1347" w:type="dxa"/>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2021</w:t>
            </w:r>
          </w:p>
        </w:tc>
        <w:tc>
          <w:tcPr>
            <w:tcW w:w="1104" w:type="dxa"/>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2020</w:t>
            </w:r>
          </w:p>
        </w:tc>
      </w:tr>
      <w:tr w:rsidR="006011F0" w:rsidRPr="005250EE" w:rsidTr="006011F0">
        <w:trPr>
          <w:trHeight w:val="214"/>
        </w:trPr>
        <w:tc>
          <w:tcPr>
            <w:tcW w:w="1818" w:type="dxa"/>
          </w:tcPr>
          <w:p w:rsidR="00E202E6" w:rsidRPr="005250EE" w:rsidRDefault="005250EE" w:rsidP="005250EE">
            <w:pPr>
              <w:spacing w:after="0" w:line="240" w:lineRule="auto"/>
              <w:rPr>
                <w:rFonts w:ascii="Arial" w:hAnsi="Arial" w:cs="Arial"/>
                <w:noProof/>
                <w:sz w:val="18"/>
                <w:szCs w:val="18"/>
                <w:lang w:val="en-AU"/>
              </w:rPr>
            </w:pPr>
            <w:r>
              <w:rPr>
                <w:rFonts w:ascii="Arial" w:hAnsi="Arial" w:cs="Arial"/>
                <w:noProof/>
                <w:sz w:val="18"/>
                <w:szCs w:val="18"/>
                <w:lang w:val="en-AU"/>
              </w:rPr>
              <w:t>Pomelo’s</w:t>
            </w:r>
          </w:p>
        </w:tc>
        <w:tc>
          <w:tcPr>
            <w:tcW w:w="877" w:type="dxa"/>
            <w:shd w:val="clear" w:color="auto" w:fill="CCCCCC"/>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5.1 m</w:t>
            </w:r>
          </w:p>
        </w:tc>
        <w:tc>
          <w:tcPr>
            <w:tcW w:w="810" w:type="dxa"/>
            <w:tcBorders>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6 m</w:t>
            </w:r>
          </w:p>
        </w:tc>
        <w:tc>
          <w:tcPr>
            <w:tcW w:w="1080" w:type="dxa"/>
            <w:tcBorders>
              <w:top w:val="single" w:sz="4" w:space="0" w:color="auto"/>
              <w:left w:val="thinThickSmallGap" w:sz="24" w:space="0" w:color="auto"/>
              <w:bottom w:val="single" w:sz="4" w:space="0" w:color="auto"/>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8.6 m</w:t>
            </w:r>
          </w:p>
        </w:tc>
        <w:tc>
          <w:tcPr>
            <w:tcW w:w="108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3.4 m</w:t>
            </w:r>
          </w:p>
        </w:tc>
        <w:tc>
          <w:tcPr>
            <w:tcW w:w="99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5 m</w:t>
            </w:r>
          </w:p>
        </w:tc>
        <w:tc>
          <w:tcPr>
            <w:tcW w:w="1350" w:type="dxa"/>
            <w:tcBorders>
              <w:left w:val="thinThickSmallGap" w:sz="24" w:space="0" w:color="auto"/>
            </w:tcBorders>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18 m</w:t>
            </w:r>
          </w:p>
        </w:tc>
        <w:tc>
          <w:tcPr>
            <w:tcW w:w="1347" w:type="dxa"/>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17 m</w:t>
            </w:r>
          </w:p>
        </w:tc>
        <w:tc>
          <w:tcPr>
            <w:tcW w:w="1104" w:type="dxa"/>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15.5 m</w:t>
            </w:r>
          </w:p>
        </w:tc>
      </w:tr>
      <w:tr w:rsidR="006011F0" w:rsidRPr="005250EE" w:rsidTr="006011F0">
        <w:trPr>
          <w:trHeight w:val="200"/>
        </w:trPr>
        <w:tc>
          <w:tcPr>
            <w:tcW w:w="1818" w:type="dxa"/>
          </w:tcPr>
          <w:p w:rsidR="00E202E6" w:rsidRPr="005250EE" w:rsidRDefault="00E202E6" w:rsidP="005250EE">
            <w:pPr>
              <w:spacing w:after="0" w:line="240" w:lineRule="auto"/>
              <w:rPr>
                <w:rFonts w:ascii="Arial" w:hAnsi="Arial" w:cs="Arial"/>
                <w:noProof/>
                <w:sz w:val="18"/>
                <w:szCs w:val="18"/>
                <w:lang w:val="en-AU"/>
              </w:rPr>
            </w:pPr>
            <w:r w:rsidRPr="005250EE">
              <w:rPr>
                <w:rFonts w:ascii="Arial" w:hAnsi="Arial" w:cs="Arial"/>
                <w:noProof/>
                <w:sz w:val="18"/>
                <w:szCs w:val="18"/>
                <w:lang w:val="en-AU"/>
              </w:rPr>
              <w:t>S</w:t>
            </w:r>
            <w:r w:rsidR="005250EE">
              <w:rPr>
                <w:rFonts w:ascii="Arial" w:hAnsi="Arial" w:cs="Arial"/>
                <w:noProof/>
                <w:sz w:val="18"/>
                <w:szCs w:val="18"/>
                <w:lang w:val="en-AU"/>
              </w:rPr>
              <w:t>agte Sitrus</w:t>
            </w:r>
          </w:p>
        </w:tc>
        <w:tc>
          <w:tcPr>
            <w:tcW w:w="877" w:type="dxa"/>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2.8 m</w:t>
            </w:r>
          </w:p>
        </w:tc>
        <w:tc>
          <w:tcPr>
            <w:tcW w:w="810" w:type="dxa"/>
            <w:tcBorders>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3.6 m</w:t>
            </w:r>
          </w:p>
        </w:tc>
        <w:tc>
          <w:tcPr>
            <w:tcW w:w="1080" w:type="dxa"/>
            <w:tcBorders>
              <w:top w:val="single" w:sz="4" w:space="0" w:color="auto"/>
              <w:left w:val="thinThickSmallGap" w:sz="24" w:space="0" w:color="auto"/>
              <w:bottom w:val="single" w:sz="4" w:space="0" w:color="auto"/>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5.1 m</w:t>
            </w:r>
          </w:p>
        </w:tc>
        <w:tc>
          <w:tcPr>
            <w:tcW w:w="1080" w:type="dxa"/>
            <w:tcBorders>
              <w:left w:val="thinThickSmallGap" w:sz="24" w:space="0" w:color="auto"/>
              <w:right w:val="thinThickSmallGap" w:sz="24" w:space="0" w:color="auto"/>
            </w:tcBorders>
            <w:shd w:val="clear" w:color="auto" w:fill="E6E6E6"/>
          </w:tcPr>
          <w:p w:rsidR="00E202E6" w:rsidRPr="005250EE" w:rsidRDefault="00E202E6" w:rsidP="001307F6">
            <w:pPr>
              <w:tabs>
                <w:tab w:val="left" w:pos="375"/>
              </w:tabs>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2.5 m</w:t>
            </w:r>
          </w:p>
        </w:tc>
        <w:tc>
          <w:tcPr>
            <w:tcW w:w="99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2.5 m</w:t>
            </w:r>
          </w:p>
        </w:tc>
        <w:tc>
          <w:tcPr>
            <w:tcW w:w="1350" w:type="dxa"/>
            <w:tcBorders>
              <w:left w:val="thinThickSmallGap" w:sz="24" w:space="0" w:color="auto"/>
            </w:tcBorders>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30.5 m</w:t>
            </w:r>
          </w:p>
        </w:tc>
        <w:tc>
          <w:tcPr>
            <w:tcW w:w="1347" w:type="dxa"/>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29.5 m</w:t>
            </w:r>
          </w:p>
        </w:tc>
        <w:tc>
          <w:tcPr>
            <w:tcW w:w="1104" w:type="dxa"/>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23.6 m</w:t>
            </w:r>
          </w:p>
        </w:tc>
      </w:tr>
      <w:tr w:rsidR="006011F0" w:rsidRPr="005250EE" w:rsidTr="006011F0">
        <w:trPr>
          <w:trHeight w:val="180"/>
        </w:trPr>
        <w:tc>
          <w:tcPr>
            <w:tcW w:w="1818" w:type="dxa"/>
          </w:tcPr>
          <w:p w:rsidR="00E202E6" w:rsidRPr="005250EE" w:rsidRDefault="005250EE" w:rsidP="005250EE">
            <w:pPr>
              <w:spacing w:after="0" w:line="240" w:lineRule="auto"/>
              <w:rPr>
                <w:rFonts w:ascii="Arial" w:hAnsi="Arial" w:cs="Arial"/>
                <w:noProof/>
                <w:sz w:val="18"/>
                <w:szCs w:val="18"/>
                <w:lang w:val="en-AU"/>
              </w:rPr>
            </w:pPr>
            <w:r>
              <w:rPr>
                <w:rFonts w:ascii="Arial" w:hAnsi="Arial" w:cs="Arial"/>
                <w:noProof/>
                <w:sz w:val="18"/>
                <w:szCs w:val="18"/>
                <w:lang w:val="en-AU"/>
              </w:rPr>
              <w:t>Suurlemoene</w:t>
            </w:r>
          </w:p>
        </w:tc>
        <w:tc>
          <w:tcPr>
            <w:tcW w:w="877" w:type="dxa"/>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5.1 m</w:t>
            </w:r>
          </w:p>
        </w:tc>
        <w:tc>
          <w:tcPr>
            <w:tcW w:w="810" w:type="dxa"/>
            <w:tcBorders>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11.5 m</w:t>
            </w:r>
          </w:p>
        </w:tc>
        <w:tc>
          <w:tcPr>
            <w:tcW w:w="1080" w:type="dxa"/>
            <w:tcBorders>
              <w:top w:val="single" w:sz="4" w:space="0" w:color="auto"/>
              <w:left w:val="thinThickSmallGap" w:sz="24" w:space="0" w:color="auto"/>
              <w:bottom w:val="single" w:sz="4" w:space="0" w:color="auto"/>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11.1 m</w:t>
            </w:r>
          </w:p>
        </w:tc>
        <w:tc>
          <w:tcPr>
            <w:tcW w:w="108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9.2 m</w:t>
            </w:r>
          </w:p>
        </w:tc>
        <w:tc>
          <w:tcPr>
            <w:tcW w:w="99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8.5 m</w:t>
            </w:r>
          </w:p>
        </w:tc>
        <w:tc>
          <w:tcPr>
            <w:tcW w:w="1350" w:type="dxa"/>
            <w:tcBorders>
              <w:left w:val="thinThickSmallGap" w:sz="24" w:space="0" w:color="auto"/>
            </w:tcBorders>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30.2 m</w:t>
            </w:r>
          </w:p>
        </w:tc>
        <w:tc>
          <w:tcPr>
            <w:tcW w:w="1347" w:type="dxa"/>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30 m</w:t>
            </w:r>
          </w:p>
        </w:tc>
        <w:tc>
          <w:tcPr>
            <w:tcW w:w="1104" w:type="dxa"/>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29.6 m</w:t>
            </w:r>
          </w:p>
        </w:tc>
      </w:tr>
      <w:tr w:rsidR="006011F0" w:rsidRPr="005250EE" w:rsidTr="006011F0">
        <w:trPr>
          <w:trHeight w:val="200"/>
        </w:trPr>
        <w:tc>
          <w:tcPr>
            <w:tcW w:w="1818" w:type="dxa"/>
          </w:tcPr>
          <w:p w:rsidR="00E202E6" w:rsidRPr="005250EE" w:rsidRDefault="005250EE" w:rsidP="001307F6">
            <w:pPr>
              <w:spacing w:after="0" w:line="240" w:lineRule="auto"/>
              <w:rPr>
                <w:rFonts w:ascii="Arial" w:hAnsi="Arial" w:cs="Arial"/>
                <w:noProof/>
                <w:sz w:val="18"/>
                <w:szCs w:val="18"/>
                <w:lang w:val="en-AU"/>
              </w:rPr>
            </w:pPr>
            <w:r>
              <w:rPr>
                <w:rFonts w:ascii="Arial" w:hAnsi="Arial" w:cs="Arial"/>
                <w:noProof/>
                <w:sz w:val="18"/>
                <w:szCs w:val="18"/>
                <w:lang w:val="en-AU"/>
              </w:rPr>
              <w:t>Naw</w:t>
            </w:r>
            <w:r w:rsidR="00E202E6" w:rsidRPr="005250EE">
              <w:rPr>
                <w:rFonts w:ascii="Arial" w:hAnsi="Arial" w:cs="Arial"/>
                <w:noProof/>
                <w:sz w:val="18"/>
                <w:szCs w:val="18"/>
                <w:lang w:val="en-AU"/>
              </w:rPr>
              <w:t>els</w:t>
            </w:r>
          </w:p>
        </w:tc>
        <w:tc>
          <w:tcPr>
            <w:tcW w:w="877" w:type="dxa"/>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0.9 m</w:t>
            </w:r>
          </w:p>
        </w:tc>
        <w:tc>
          <w:tcPr>
            <w:tcW w:w="810" w:type="dxa"/>
            <w:tcBorders>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1.4 m</w:t>
            </w:r>
          </w:p>
        </w:tc>
        <w:tc>
          <w:tcPr>
            <w:tcW w:w="1080" w:type="dxa"/>
            <w:tcBorders>
              <w:top w:val="single" w:sz="4" w:space="0" w:color="auto"/>
              <w:left w:val="thinThickSmallGap" w:sz="24" w:space="0" w:color="auto"/>
              <w:bottom w:val="single" w:sz="4" w:space="0" w:color="auto"/>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2 m</w:t>
            </w:r>
          </w:p>
        </w:tc>
        <w:tc>
          <w:tcPr>
            <w:tcW w:w="108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0.5 m</w:t>
            </w:r>
          </w:p>
        </w:tc>
        <w:tc>
          <w:tcPr>
            <w:tcW w:w="99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0.5 m</w:t>
            </w:r>
          </w:p>
        </w:tc>
        <w:tc>
          <w:tcPr>
            <w:tcW w:w="1350" w:type="dxa"/>
            <w:tcBorders>
              <w:left w:val="thinThickSmallGap" w:sz="24" w:space="0" w:color="auto"/>
            </w:tcBorders>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26.3 m</w:t>
            </w:r>
          </w:p>
        </w:tc>
        <w:tc>
          <w:tcPr>
            <w:tcW w:w="1347" w:type="dxa"/>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26.3 m</w:t>
            </w:r>
          </w:p>
        </w:tc>
        <w:tc>
          <w:tcPr>
            <w:tcW w:w="1104" w:type="dxa"/>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26.2 m</w:t>
            </w:r>
          </w:p>
        </w:tc>
      </w:tr>
      <w:tr w:rsidR="006011F0" w:rsidRPr="005250EE" w:rsidTr="006011F0">
        <w:trPr>
          <w:trHeight w:val="245"/>
        </w:trPr>
        <w:tc>
          <w:tcPr>
            <w:tcW w:w="1818" w:type="dxa"/>
          </w:tcPr>
          <w:p w:rsidR="00E202E6" w:rsidRPr="005250EE" w:rsidRDefault="00E202E6" w:rsidP="001307F6">
            <w:pPr>
              <w:spacing w:after="0" w:line="240" w:lineRule="auto"/>
              <w:rPr>
                <w:rFonts w:ascii="Arial" w:hAnsi="Arial" w:cs="Arial"/>
                <w:noProof/>
                <w:sz w:val="18"/>
                <w:szCs w:val="18"/>
                <w:lang w:val="en-AU"/>
              </w:rPr>
            </w:pPr>
            <w:r w:rsidRPr="005250EE">
              <w:rPr>
                <w:rFonts w:ascii="Arial" w:hAnsi="Arial" w:cs="Arial"/>
                <w:noProof/>
                <w:sz w:val="18"/>
                <w:szCs w:val="18"/>
                <w:lang w:val="en-AU"/>
              </w:rPr>
              <w:t>Valencia</w:t>
            </w:r>
            <w:r w:rsidR="005250EE">
              <w:rPr>
                <w:rFonts w:ascii="Arial" w:hAnsi="Arial" w:cs="Arial"/>
                <w:noProof/>
                <w:sz w:val="18"/>
                <w:szCs w:val="18"/>
                <w:lang w:val="en-AU"/>
              </w:rPr>
              <w:t>s</w:t>
            </w:r>
          </w:p>
        </w:tc>
        <w:tc>
          <w:tcPr>
            <w:tcW w:w="877" w:type="dxa"/>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0.3 m</w:t>
            </w:r>
          </w:p>
        </w:tc>
        <w:tc>
          <w:tcPr>
            <w:tcW w:w="810" w:type="dxa"/>
            <w:tcBorders>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w:t>
            </w:r>
          </w:p>
        </w:tc>
        <w:tc>
          <w:tcPr>
            <w:tcW w:w="1080" w:type="dxa"/>
            <w:tcBorders>
              <w:top w:val="single" w:sz="4" w:space="0" w:color="auto"/>
              <w:left w:val="thinThickSmallGap" w:sz="24" w:space="0" w:color="auto"/>
              <w:bottom w:val="single" w:sz="4" w:space="0" w:color="auto"/>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0.1 m</w:t>
            </w:r>
          </w:p>
        </w:tc>
        <w:tc>
          <w:tcPr>
            <w:tcW w:w="108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w:t>
            </w:r>
          </w:p>
        </w:tc>
        <w:tc>
          <w:tcPr>
            <w:tcW w:w="99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w:t>
            </w:r>
          </w:p>
        </w:tc>
        <w:tc>
          <w:tcPr>
            <w:tcW w:w="1350" w:type="dxa"/>
            <w:tcBorders>
              <w:left w:val="thinThickSmallGap" w:sz="24" w:space="0" w:color="auto"/>
            </w:tcBorders>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58 m</w:t>
            </w:r>
          </w:p>
        </w:tc>
        <w:tc>
          <w:tcPr>
            <w:tcW w:w="1347" w:type="dxa"/>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58 m</w:t>
            </w:r>
          </w:p>
        </w:tc>
        <w:tc>
          <w:tcPr>
            <w:tcW w:w="1104" w:type="dxa"/>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55.1 m</w:t>
            </w:r>
          </w:p>
        </w:tc>
      </w:tr>
      <w:tr w:rsidR="006011F0" w:rsidRPr="005250EE" w:rsidTr="006011F0">
        <w:trPr>
          <w:trHeight w:val="214"/>
        </w:trPr>
        <w:tc>
          <w:tcPr>
            <w:tcW w:w="1818" w:type="dxa"/>
          </w:tcPr>
          <w:p w:rsidR="00E202E6" w:rsidRPr="005250EE" w:rsidRDefault="00E202E6" w:rsidP="001307F6">
            <w:pPr>
              <w:spacing w:after="0" w:line="240" w:lineRule="auto"/>
              <w:rPr>
                <w:rFonts w:ascii="Arial" w:hAnsi="Arial" w:cs="Arial"/>
                <w:noProof/>
                <w:sz w:val="18"/>
                <w:szCs w:val="18"/>
                <w:lang w:val="en-AU"/>
              </w:rPr>
            </w:pPr>
            <w:r w:rsidRPr="005250EE">
              <w:rPr>
                <w:rFonts w:ascii="Arial" w:hAnsi="Arial" w:cs="Arial"/>
                <w:noProof/>
                <w:sz w:val="18"/>
                <w:szCs w:val="18"/>
                <w:lang w:val="en-AU"/>
              </w:rPr>
              <w:t>Tota</w:t>
            </w:r>
            <w:r w:rsidR="005250EE">
              <w:rPr>
                <w:rFonts w:ascii="Arial" w:hAnsi="Arial" w:cs="Arial"/>
                <w:noProof/>
                <w:sz w:val="18"/>
                <w:szCs w:val="18"/>
                <w:lang w:val="en-AU"/>
              </w:rPr>
              <w:t>a</w:t>
            </w:r>
            <w:r w:rsidRPr="005250EE">
              <w:rPr>
                <w:rFonts w:ascii="Arial" w:hAnsi="Arial" w:cs="Arial"/>
                <w:noProof/>
                <w:sz w:val="18"/>
                <w:szCs w:val="18"/>
                <w:lang w:val="en-AU"/>
              </w:rPr>
              <w:t>l</w:t>
            </w:r>
          </w:p>
        </w:tc>
        <w:tc>
          <w:tcPr>
            <w:tcW w:w="877" w:type="dxa"/>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14.2 m</w:t>
            </w:r>
          </w:p>
        </w:tc>
        <w:tc>
          <w:tcPr>
            <w:tcW w:w="810" w:type="dxa"/>
            <w:tcBorders>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22.5 m</w:t>
            </w:r>
          </w:p>
        </w:tc>
        <w:tc>
          <w:tcPr>
            <w:tcW w:w="1080" w:type="dxa"/>
            <w:tcBorders>
              <w:top w:val="single" w:sz="4" w:space="0" w:color="auto"/>
              <w:left w:val="thinThickSmallGap" w:sz="24" w:space="0" w:color="auto"/>
              <w:bottom w:val="single" w:sz="4" w:space="0" w:color="auto"/>
              <w:right w:val="thinThickSmallGap" w:sz="24" w:space="0" w:color="auto"/>
            </w:tcBorders>
            <w:shd w:val="clear" w:color="auto" w:fill="CCCCCC"/>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26.9 m</w:t>
            </w:r>
          </w:p>
        </w:tc>
        <w:tc>
          <w:tcPr>
            <w:tcW w:w="108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15.6 m</w:t>
            </w:r>
          </w:p>
        </w:tc>
        <w:tc>
          <w:tcPr>
            <w:tcW w:w="990" w:type="dxa"/>
            <w:tcBorders>
              <w:left w:val="thinThickSmallGap" w:sz="24" w:space="0" w:color="auto"/>
              <w:right w:val="thinThickSmallGap" w:sz="24" w:space="0" w:color="auto"/>
            </w:tcBorders>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16.5 m</w:t>
            </w:r>
          </w:p>
        </w:tc>
        <w:tc>
          <w:tcPr>
            <w:tcW w:w="1350" w:type="dxa"/>
            <w:tcBorders>
              <w:left w:val="thinThickSmallGap" w:sz="24" w:space="0" w:color="auto"/>
            </w:tcBorders>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r w:rsidRPr="005250EE">
              <w:rPr>
                <w:rFonts w:ascii="Arial" w:hAnsi="Arial" w:cs="Arial"/>
                <w:noProof/>
                <w:sz w:val="18"/>
                <w:szCs w:val="18"/>
                <w:lang w:val="en-AU"/>
              </w:rPr>
              <w:t>163 m</w:t>
            </w:r>
          </w:p>
        </w:tc>
        <w:tc>
          <w:tcPr>
            <w:tcW w:w="1347" w:type="dxa"/>
            <w:shd w:val="clear" w:color="auto" w:fill="E6E6E6"/>
          </w:tcPr>
          <w:p w:rsidR="00E202E6" w:rsidRPr="005250EE" w:rsidRDefault="00E202E6" w:rsidP="001307F6">
            <w:pPr>
              <w:spacing w:after="0" w:line="240" w:lineRule="auto"/>
              <w:jc w:val="right"/>
              <w:rPr>
                <w:rFonts w:ascii="Arial" w:hAnsi="Arial" w:cs="Arial"/>
                <w:noProof/>
                <w:sz w:val="18"/>
                <w:szCs w:val="18"/>
                <w:lang w:val="en-AU"/>
              </w:rPr>
            </w:pPr>
          </w:p>
        </w:tc>
        <w:tc>
          <w:tcPr>
            <w:tcW w:w="1104" w:type="dxa"/>
            <w:shd w:val="clear" w:color="auto" w:fill="E6E6E6"/>
          </w:tcPr>
          <w:p w:rsidR="00E202E6" w:rsidRPr="005250EE" w:rsidRDefault="00E202E6" w:rsidP="001307F6">
            <w:pPr>
              <w:spacing w:after="0" w:line="240" w:lineRule="auto"/>
              <w:jc w:val="center"/>
              <w:rPr>
                <w:rFonts w:ascii="Arial" w:hAnsi="Arial" w:cs="Arial"/>
                <w:noProof/>
                <w:sz w:val="18"/>
                <w:szCs w:val="18"/>
                <w:lang w:val="en-AU"/>
              </w:rPr>
            </w:pPr>
            <w:r w:rsidRPr="005250EE">
              <w:rPr>
                <w:rFonts w:ascii="Arial" w:hAnsi="Arial" w:cs="Arial"/>
                <w:noProof/>
                <w:sz w:val="18"/>
                <w:szCs w:val="18"/>
                <w:lang w:val="en-AU"/>
              </w:rPr>
              <w:t>150 m</w:t>
            </w:r>
          </w:p>
        </w:tc>
      </w:tr>
    </w:tbl>
    <w:p w:rsidR="00A25341" w:rsidRDefault="00A25341" w:rsidP="0043300C">
      <w:pPr>
        <w:spacing w:after="0"/>
        <w:rPr>
          <w:rFonts w:asciiTheme="minorHAnsi" w:eastAsia="Times New Roman" w:hAnsiTheme="minorHAnsi" w:cstheme="minorHAnsi"/>
          <w:sz w:val="24"/>
          <w:szCs w:val="24"/>
          <w:lang w:val="en-US"/>
        </w:rPr>
      </w:pPr>
      <w:bookmarkStart w:id="0" w:name="_GoBack"/>
      <w:bookmarkEnd w:id="0"/>
    </w:p>
    <w:sectPr w:rsidR="00A25341" w:rsidSect="00055F10">
      <w:footerReference w:type="default" r:id="rId9"/>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00" w:rsidRDefault="002A2900" w:rsidP="00595E08">
      <w:pPr>
        <w:spacing w:after="0" w:line="240" w:lineRule="auto"/>
      </w:pPr>
      <w:r>
        <w:separator/>
      </w:r>
    </w:p>
  </w:endnote>
  <w:endnote w:type="continuationSeparator" w:id="0">
    <w:p w:rsidR="002A2900" w:rsidRDefault="002A290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00" w:rsidRDefault="002A2900" w:rsidP="00595E08">
      <w:pPr>
        <w:spacing w:after="0" w:line="240" w:lineRule="auto"/>
      </w:pPr>
      <w:r>
        <w:separator/>
      </w:r>
    </w:p>
  </w:footnote>
  <w:footnote w:type="continuationSeparator" w:id="0">
    <w:p w:rsidR="002A2900" w:rsidRDefault="002A2900"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6172"/>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4865"/>
    <w:rsid w:val="000C4B73"/>
    <w:rsid w:val="000C4E72"/>
    <w:rsid w:val="000D2F64"/>
    <w:rsid w:val="000D629E"/>
    <w:rsid w:val="000D7425"/>
    <w:rsid w:val="000E172C"/>
    <w:rsid w:val="000E541C"/>
    <w:rsid w:val="000E7748"/>
    <w:rsid w:val="000F059E"/>
    <w:rsid w:val="000F17B2"/>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57186"/>
    <w:rsid w:val="00174465"/>
    <w:rsid w:val="00175573"/>
    <w:rsid w:val="00175734"/>
    <w:rsid w:val="001757E7"/>
    <w:rsid w:val="00176A66"/>
    <w:rsid w:val="00177BFC"/>
    <w:rsid w:val="00181B2D"/>
    <w:rsid w:val="00185357"/>
    <w:rsid w:val="00190EE1"/>
    <w:rsid w:val="001A29BD"/>
    <w:rsid w:val="001B1783"/>
    <w:rsid w:val="001B203D"/>
    <w:rsid w:val="001B46B6"/>
    <w:rsid w:val="001B673C"/>
    <w:rsid w:val="001C4A43"/>
    <w:rsid w:val="001C56F9"/>
    <w:rsid w:val="001C679B"/>
    <w:rsid w:val="001C723E"/>
    <w:rsid w:val="001D36FE"/>
    <w:rsid w:val="001D5666"/>
    <w:rsid w:val="001D573C"/>
    <w:rsid w:val="001D69A2"/>
    <w:rsid w:val="001D7278"/>
    <w:rsid w:val="001E45A1"/>
    <w:rsid w:val="001E6EFD"/>
    <w:rsid w:val="001E6F79"/>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D2E"/>
    <w:rsid w:val="00250E1D"/>
    <w:rsid w:val="002512C0"/>
    <w:rsid w:val="00267052"/>
    <w:rsid w:val="0027201C"/>
    <w:rsid w:val="0027721A"/>
    <w:rsid w:val="00280379"/>
    <w:rsid w:val="00280B32"/>
    <w:rsid w:val="00280BC7"/>
    <w:rsid w:val="00297526"/>
    <w:rsid w:val="002A2900"/>
    <w:rsid w:val="002A3692"/>
    <w:rsid w:val="002A3E51"/>
    <w:rsid w:val="002A597D"/>
    <w:rsid w:val="002A5A13"/>
    <w:rsid w:val="002B3545"/>
    <w:rsid w:val="002B41CC"/>
    <w:rsid w:val="002C18E4"/>
    <w:rsid w:val="002C616B"/>
    <w:rsid w:val="002C65CD"/>
    <w:rsid w:val="002D122B"/>
    <w:rsid w:val="002D17EB"/>
    <w:rsid w:val="002D3448"/>
    <w:rsid w:val="002E1866"/>
    <w:rsid w:val="002F0EAE"/>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736BF"/>
    <w:rsid w:val="0038002B"/>
    <w:rsid w:val="00380CC6"/>
    <w:rsid w:val="003858A1"/>
    <w:rsid w:val="003959C7"/>
    <w:rsid w:val="00397378"/>
    <w:rsid w:val="003A1DA8"/>
    <w:rsid w:val="003B09E4"/>
    <w:rsid w:val="003B3CE2"/>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250EE"/>
    <w:rsid w:val="005330E2"/>
    <w:rsid w:val="005350A0"/>
    <w:rsid w:val="005369A5"/>
    <w:rsid w:val="00536B64"/>
    <w:rsid w:val="00540ACC"/>
    <w:rsid w:val="00541EB1"/>
    <w:rsid w:val="00546152"/>
    <w:rsid w:val="00547C6C"/>
    <w:rsid w:val="0056071F"/>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3D1D"/>
    <w:rsid w:val="005E05EF"/>
    <w:rsid w:val="005E29B8"/>
    <w:rsid w:val="005E62DC"/>
    <w:rsid w:val="005F2989"/>
    <w:rsid w:val="005F4137"/>
    <w:rsid w:val="005F6E38"/>
    <w:rsid w:val="00600B79"/>
    <w:rsid w:val="006011F0"/>
    <w:rsid w:val="00601C02"/>
    <w:rsid w:val="00603FFA"/>
    <w:rsid w:val="006042E1"/>
    <w:rsid w:val="006046D7"/>
    <w:rsid w:val="0060721F"/>
    <w:rsid w:val="00611C22"/>
    <w:rsid w:val="00612231"/>
    <w:rsid w:val="00613228"/>
    <w:rsid w:val="00613C1F"/>
    <w:rsid w:val="006254FA"/>
    <w:rsid w:val="006302CB"/>
    <w:rsid w:val="00632C81"/>
    <w:rsid w:val="00634FFA"/>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21BA"/>
    <w:rsid w:val="0069320C"/>
    <w:rsid w:val="0069350E"/>
    <w:rsid w:val="00695012"/>
    <w:rsid w:val="006A0B6E"/>
    <w:rsid w:val="006A0DC3"/>
    <w:rsid w:val="006A5DD3"/>
    <w:rsid w:val="006A6345"/>
    <w:rsid w:val="006B22E7"/>
    <w:rsid w:val="006B4E1B"/>
    <w:rsid w:val="006C1559"/>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0583"/>
    <w:rsid w:val="00771B83"/>
    <w:rsid w:val="00782381"/>
    <w:rsid w:val="007830CC"/>
    <w:rsid w:val="0078484E"/>
    <w:rsid w:val="007958FA"/>
    <w:rsid w:val="00795921"/>
    <w:rsid w:val="007A07FA"/>
    <w:rsid w:val="007A4310"/>
    <w:rsid w:val="007A4C30"/>
    <w:rsid w:val="007A5391"/>
    <w:rsid w:val="007A6F34"/>
    <w:rsid w:val="007A7155"/>
    <w:rsid w:val="007A7E9E"/>
    <w:rsid w:val="007B14A1"/>
    <w:rsid w:val="007C298B"/>
    <w:rsid w:val="007D4D85"/>
    <w:rsid w:val="007D4E14"/>
    <w:rsid w:val="007E360C"/>
    <w:rsid w:val="007E6B47"/>
    <w:rsid w:val="007F6B60"/>
    <w:rsid w:val="008107A2"/>
    <w:rsid w:val="00810CC8"/>
    <w:rsid w:val="0081352C"/>
    <w:rsid w:val="0081487A"/>
    <w:rsid w:val="00821F18"/>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5508"/>
    <w:rsid w:val="008C78C6"/>
    <w:rsid w:val="008D506C"/>
    <w:rsid w:val="008E1A19"/>
    <w:rsid w:val="008E3E09"/>
    <w:rsid w:val="008E40E0"/>
    <w:rsid w:val="008F2289"/>
    <w:rsid w:val="008F753A"/>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238D"/>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3B72"/>
    <w:rsid w:val="00A44ECB"/>
    <w:rsid w:val="00A46408"/>
    <w:rsid w:val="00A508B7"/>
    <w:rsid w:val="00A54595"/>
    <w:rsid w:val="00A751D8"/>
    <w:rsid w:val="00A76B0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78A3"/>
    <w:rsid w:val="00D32A42"/>
    <w:rsid w:val="00D33202"/>
    <w:rsid w:val="00D361AB"/>
    <w:rsid w:val="00D3722B"/>
    <w:rsid w:val="00D410D1"/>
    <w:rsid w:val="00D41361"/>
    <w:rsid w:val="00D43608"/>
    <w:rsid w:val="00D456CC"/>
    <w:rsid w:val="00D478DE"/>
    <w:rsid w:val="00D51E40"/>
    <w:rsid w:val="00D56480"/>
    <w:rsid w:val="00D66358"/>
    <w:rsid w:val="00D66490"/>
    <w:rsid w:val="00D67D4B"/>
    <w:rsid w:val="00D81CCB"/>
    <w:rsid w:val="00D84A21"/>
    <w:rsid w:val="00D875E6"/>
    <w:rsid w:val="00D94669"/>
    <w:rsid w:val="00DA0CE9"/>
    <w:rsid w:val="00DB0052"/>
    <w:rsid w:val="00DB2C2C"/>
    <w:rsid w:val="00DB4748"/>
    <w:rsid w:val="00DB75AA"/>
    <w:rsid w:val="00DC0B1C"/>
    <w:rsid w:val="00DC1241"/>
    <w:rsid w:val="00DC4F50"/>
    <w:rsid w:val="00DD3275"/>
    <w:rsid w:val="00DD3A75"/>
    <w:rsid w:val="00DE100B"/>
    <w:rsid w:val="00DE396E"/>
    <w:rsid w:val="00DE58C6"/>
    <w:rsid w:val="00DF0150"/>
    <w:rsid w:val="00E01533"/>
    <w:rsid w:val="00E017AC"/>
    <w:rsid w:val="00E018E6"/>
    <w:rsid w:val="00E0676F"/>
    <w:rsid w:val="00E13E00"/>
    <w:rsid w:val="00E14724"/>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143A6"/>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2B0F"/>
    <w:rsid w:val="00F64027"/>
    <w:rsid w:val="00F6437C"/>
    <w:rsid w:val="00F679DE"/>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86450">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375752">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59470380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94E4-D6C1-4A7A-850E-30EAC1F1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2021-05-24T08:17:00Z</cp:lastPrinted>
  <dcterms:created xsi:type="dcterms:W3CDTF">2021-05-24T08:50:00Z</dcterms:created>
  <dcterms:modified xsi:type="dcterms:W3CDTF">2021-05-24T08:50:00Z</dcterms:modified>
</cp:coreProperties>
</file>