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0E541C">
        <w:rPr>
          <w:rFonts w:ascii="Comic Sans MS" w:hAnsi="Comic Sans MS"/>
          <w:b/>
          <w:i/>
          <w:sz w:val="40"/>
          <w:szCs w:val="40"/>
        </w:rPr>
        <w:t>45</w:t>
      </w:r>
      <w:r w:rsidRPr="00490CA8">
        <w:rPr>
          <w:rFonts w:ascii="Comic Sans MS" w:hAnsi="Comic Sans MS"/>
          <w:b/>
          <w:i/>
          <w:sz w:val="40"/>
          <w:szCs w:val="40"/>
        </w:rPr>
        <w:t>/19)</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(Follow me on Twitter justchad_cga)</w:t>
      </w:r>
    </w:p>
    <w:p w:rsidR="00361403" w:rsidRDefault="00361403">
      <w:pPr>
        <w:rPr>
          <w:rFonts w:ascii="Comic Sans MS" w:hAnsi="Comic Sans MS"/>
          <w:i/>
          <w:sz w:val="21"/>
          <w:szCs w:val="21"/>
        </w:rPr>
      </w:pPr>
      <w:r w:rsidRPr="00EF7AA5">
        <w:rPr>
          <w:rFonts w:ascii="Comic Sans MS" w:hAnsi="Comic Sans MS"/>
          <w:i/>
          <w:sz w:val="21"/>
          <w:szCs w:val="21"/>
        </w:rPr>
        <w:t xml:space="preserve">Justin Chadwick </w:t>
      </w:r>
      <w:r w:rsidR="000E541C">
        <w:rPr>
          <w:rFonts w:ascii="Comic Sans MS" w:hAnsi="Comic Sans MS"/>
          <w:i/>
          <w:sz w:val="21"/>
          <w:szCs w:val="21"/>
        </w:rPr>
        <w:t>8 November</w:t>
      </w:r>
      <w:r>
        <w:rPr>
          <w:rFonts w:ascii="Comic Sans MS" w:hAnsi="Comic Sans MS"/>
          <w:i/>
          <w:sz w:val="21"/>
          <w:szCs w:val="21"/>
        </w:rPr>
        <w:t xml:space="preserve"> </w:t>
      </w:r>
      <w:r w:rsidRPr="00EF7AA5">
        <w:rPr>
          <w:rFonts w:ascii="Comic Sans MS" w:hAnsi="Comic Sans MS"/>
          <w:i/>
          <w:sz w:val="21"/>
          <w:szCs w:val="21"/>
        </w:rPr>
        <w:t>2019</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0D76D2" w:rsidTr="00ED209B">
        <w:trPr>
          <w:trHeight w:val="555"/>
          <w:tblCellSpacing w:w="0" w:type="dxa"/>
        </w:trPr>
        <w:tc>
          <w:tcPr>
            <w:tcW w:w="10824" w:type="dxa"/>
            <w:vAlign w:val="center"/>
          </w:tcPr>
          <w:p w:rsidR="00836320" w:rsidRPr="00ED209B" w:rsidRDefault="000E541C" w:rsidP="00ED209B">
            <w:pPr>
              <w:ind w:right="-329"/>
              <w:rPr>
                <w:rFonts w:ascii="Arial" w:hAnsi="Arial" w:cs="Arial"/>
                <w:b/>
                <w:i/>
                <w:lang w:val="en-US"/>
              </w:rPr>
            </w:pPr>
            <w:r w:rsidRPr="00897D4D">
              <w:rPr>
                <w:rFonts w:ascii="Arial" w:hAnsi="Arial" w:cs="Arial"/>
                <w:b/>
                <w:i/>
                <w:lang w:val="en-US"/>
              </w:rPr>
              <w:t>“</w:t>
            </w:r>
            <w:r>
              <w:rPr>
                <w:rFonts w:ascii="Arial" w:hAnsi="Arial" w:cs="Arial"/>
                <w:b/>
                <w:i/>
                <w:lang w:val="en-US"/>
              </w:rPr>
              <w:t xml:space="preserve">The time is always right, to do what is right.” Martin Luther King, Jnr. </w:t>
            </w:r>
          </w:p>
        </w:tc>
      </w:tr>
    </w:tbl>
    <w:p w:rsidR="003F7804" w:rsidRPr="00230CA5" w:rsidRDefault="000E541C" w:rsidP="00940202">
      <w:pPr>
        <w:spacing w:after="0" w:line="240" w:lineRule="auto"/>
        <w:rPr>
          <w:rFonts w:ascii="Arial" w:eastAsia="Times New Roman" w:hAnsi="Arial" w:cs="Arial"/>
          <w:b/>
          <w:color w:val="00B050"/>
          <w:sz w:val="20"/>
          <w:szCs w:val="20"/>
          <w:u w:val="single"/>
          <w:lang w:val="en-US"/>
        </w:rPr>
      </w:pPr>
      <w:r>
        <w:rPr>
          <w:rFonts w:ascii="Arial" w:eastAsia="Times New Roman" w:hAnsi="Arial" w:cs="Arial"/>
          <w:b/>
          <w:color w:val="00B050"/>
          <w:sz w:val="20"/>
          <w:szCs w:val="20"/>
          <w:u w:val="single"/>
          <w:lang w:val="en-US"/>
        </w:rPr>
        <w:t>2019 LEMON SEASONAL REVIEW</w:t>
      </w:r>
      <w:r w:rsidR="00455927">
        <w:rPr>
          <w:rFonts w:ascii="Arial" w:eastAsia="Times New Roman" w:hAnsi="Arial" w:cs="Arial"/>
          <w:b/>
          <w:color w:val="00B050"/>
          <w:sz w:val="20"/>
          <w:szCs w:val="20"/>
          <w:u w:val="single"/>
          <w:lang w:val="en-US"/>
        </w:rPr>
        <w:t xml:space="preserve"> (Prepared by Portia Magwaza; CGA Research Economist)</w:t>
      </w:r>
      <w:r>
        <w:rPr>
          <w:rFonts w:ascii="Arial" w:eastAsia="Times New Roman" w:hAnsi="Arial" w:cs="Arial"/>
          <w:b/>
          <w:color w:val="00B050"/>
          <w:sz w:val="20"/>
          <w:szCs w:val="20"/>
          <w:u w:val="single"/>
          <w:lang w:val="en-US"/>
        </w:rPr>
        <w:t xml:space="preserve"> </w:t>
      </w:r>
      <w:r w:rsidR="00230CA5" w:rsidRPr="00230CA5">
        <w:rPr>
          <w:rFonts w:ascii="Arial" w:eastAsia="Times New Roman" w:hAnsi="Arial" w:cs="Arial"/>
          <w:b/>
          <w:color w:val="00B050"/>
          <w:sz w:val="20"/>
          <w:szCs w:val="20"/>
          <w:u w:val="single"/>
          <w:lang w:val="en-US"/>
        </w:rPr>
        <w:t xml:space="preserve"> </w:t>
      </w:r>
    </w:p>
    <w:p w:rsidR="00230CA5" w:rsidRDefault="007E360C" w:rsidP="00595E08">
      <w:pPr>
        <w:spacing w:after="0"/>
        <w:rPr>
          <w:rFonts w:ascii="Arial" w:eastAsia="Times New Roman" w:hAnsi="Arial" w:cs="Arial"/>
          <w:b/>
          <w:color w:val="C45911" w:themeColor="accent2" w:themeShade="BF"/>
          <w:sz w:val="24"/>
          <w:szCs w:val="24"/>
          <w:u w:val="single"/>
          <w:lang w:val="en-US"/>
        </w:rPr>
      </w:pPr>
      <w:r>
        <w:rPr>
          <w:noProof/>
          <w:lang w:eastAsia="en-ZA"/>
        </w:rPr>
        <w:drawing>
          <wp:anchor distT="0" distB="0" distL="114300" distR="114300" simplePos="0" relativeHeight="251661312" behindDoc="1" locked="0" layoutInCell="1" allowOverlap="1" wp14:anchorId="374E0CA6" wp14:editId="4848208F">
            <wp:simplePos x="0" y="0"/>
            <wp:positionH relativeFrom="column">
              <wp:posOffset>0</wp:posOffset>
            </wp:positionH>
            <wp:positionV relativeFrom="paragraph">
              <wp:posOffset>165711</wp:posOffset>
            </wp:positionV>
            <wp:extent cx="4305300" cy="2124075"/>
            <wp:effectExtent l="0" t="0" r="0" b="9525"/>
            <wp:wrapTight wrapText="bothSides">
              <wp:wrapPolygon edited="0">
                <wp:start x="0" y="0"/>
                <wp:lineTo x="0" y="21503"/>
                <wp:lineTo x="21504" y="21503"/>
                <wp:lineTo x="21504"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rsidR="00A320B1" w:rsidRDefault="000E541C" w:rsidP="003D70AB">
      <w:pPr>
        <w:spacing w:after="0" w:line="240" w:lineRule="auto"/>
        <w:jc w:val="both"/>
        <w:rPr>
          <w:bCs/>
        </w:rPr>
      </w:pPr>
      <w:r>
        <w:rPr>
          <w:bCs/>
        </w:rPr>
        <w:t>The curtain is down on the</w:t>
      </w:r>
      <w:r w:rsidR="00A320B1">
        <w:rPr>
          <w:bCs/>
        </w:rPr>
        <w:t xml:space="preserve"> 201</w:t>
      </w:r>
      <w:r>
        <w:rPr>
          <w:bCs/>
        </w:rPr>
        <w:t xml:space="preserve">9 lemon season and it has been a record in terms of the volumes packed for export. The </w:t>
      </w:r>
      <w:r w:rsidR="00A320B1">
        <w:rPr>
          <w:bCs/>
        </w:rPr>
        <w:t xml:space="preserve">22.1 million 15 kg cartons packed (331 500 tonnes) surpasses the 2018 volume of </w:t>
      </w:r>
      <w:r w:rsidR="00BB0DE8">
        <w:rPr>
          <w:bCs/>
        </w:rPr>
        <w:t>19.9 million cartons</w:t>
      </w:r>
      <w:r w:rsidR="0030169A">
        <w:rPr>
          <w:bCs/>
        </w:rPr>
        <w:t>.</w:t>
      </w:r>
    </w:p>
    <w:p w:rsidR="0030169A" w:rsidRDefault="0030169A" w:rsidP="003D70AB">
      <w:pPr>
        <w:spacing w:after="0" w:line="240" w:lineRule="auto"/>
        <w:jc w:val="both"/>
        <w:rPr>
          <w:bCs/>
        </w:rPr>
      </w:pPr>
      <w:r>
        <w:rPr>
          <w:bCs/>
        </w:rPr>
        <w:t xml:space="preserve">The initial estimate was for 22 million cartons and the final tally being 22.1 million – well done Lemon Focus Group. The biggest region (Sundays River Valley) at 10.2 million cartons was 2 % over the estimate; Senwes at 3.8 m cartons was 18% under the </w:t>
      </w:r>
      <w:r w:rsidR="003D70AB">
        <w:rPr>
          <w:bCs/>
        </w:rPr>
        <w:t>estimate; while Boland at 1.5 m was</w:t>
      </w:r>
      <w:r w:rsidR="007E360C">
        <w:rPr>
          <w:bCs/>
        </w:rPr>
        <w:t xml:space="preserve"> 79% over the estimate. </w:t>
      </w:r>
      <w:r w:rsidR="003D70AB">
        <w:rPr>
          <w:bCs/>
        </w:rPr>
        <w:t xml:space="preserve">Patensie with 1.3 m cartons was 36% over the estimate whereas Hoedspruit (1.3 m) was 14% less than the estimate. </w:t>
      </w:r>
    </w:p>
    <w:p w:rsidR="006412FF" w:rsidRDefault="003D70AB" w:rsidP="003D70AB">
      <w:pPr>
        <w:spacing w:after="0" w:line="240" w:lineRule="auto"/>
        <w:jc w:val="both"/>
        <w:rPr>
          <w:bCs/>
        </w:rPr>
      </w:pPr>
      <w:r>
        <w:rPr>
          <w:noProof/>
          <w:lang w:eastAsia="en-ZA"/>
        </w:rPr>
        <w:drawing>
          <wp:anchor distT="0" distB="0" distL="114300" distR="114300" simplePos="0" relativeHeight="251662336" behindDoc="1" locked="0" layoutInCell="1" allowOverlap="1" wp14:anchorId="15247293" wp14:editId="324C2B06">
            <wp:simplePos x="0" y="0"/>
            <wp:positionH relativeFrom="column">
              <wp:posOffset>-240</wp:posOffset>
            </wp:positionH>
            <wp:positionV relativeFrom="paragraph">
              <wp:posOffset>121285</wp:posOffset>
            </wp:positionV>
            <wp:extent cx="3993515" cy="2320290"/>
            <wp:effectExtent l="0" t="0" r="6985" b="3810"/>
            <wp:wrapTight wrapText="bothSides">
              <wp:wrapPolygon edited="0">
                <wp:start x="0" y="0"/>
                <wp:lineTo x="0" y="21458"/>
                <wp:lineTo x="21535" y="21458"/>
                <wp:lineTo x="21535" y="0"/>
                <wp:lineTo x="0" y="0"/>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6412FF">
        <w:rPr>
          <w:bCs/>
        </w:rPr>
        <w:t xml:space="preserve">Netherlands remains the global leader in terms of the importation of the Southern African lemons- importing 41 000 tonnes, despite the slight drop from the </w:t>
      </w:r>
      <w:r w:rsidR="00455927">
        <w:rPr>
          <w:bCs/>
        </w:rPr>
        <w:t>48 000 in 2018. The United Arab</w:t>
      </w:r>
      <w:r w:rsidR="006412FF">
        <w:rPr>
          <w:bCs/>
        </w:rPr>
        <w:t xml:space="preserve"> Emirates imports have fallen from 46 000 tonnes in 2018, to 38 000 ton</w:t>
      </w:r>
      <w:r w:rsidR="00CB303A">
        <w:rPr>
          <w:bCs/>
        </w:rPr>
        <w:t>nes in 2019. Saudi Arabia imports increase from 28 000</w:t>
      </w:r>
      <w:r w:rsidR="00CB303A" w:rsidRPr="00CB303A">
        <w:rPr>
          <w:bCs/>
        </w:rPr>
        <w:t xml:space="preserve"> </w:t>
      </w:r>
      <w:r w:rsidR="00CB303A">
        <w:rPr>
          <w:bCs/>
        </w:rPr>
        <w:t xml:space="preserve">tonnes (2018) to 30 000 tonnes (2019) just ahead of Russia (27 000). And lastly UK (21 000) rounding the top five importing countries. Surprisingly Iraq experiences large volume increase from the previous year 7 000 tonnes to 20 000 tonnes imported.  </w:t>
      </w:r>
    </w:p>
    <w:p w:rsidR="00CB303A" w:rsidRDefault="00CB303A" w:rsidP="003D70AB">
      <w:pPr>
        <w:spacing w:after="0" w:line="240" w:lineRule="auto"/>
        <w:jc w:val="both"/>
        <w:rPr>
          <w:bCs/>
        </w:rPr>
      </w:pPr>
      <w:r>
        <w:rPr>
          <w:bCs/>
        </w:rPr>
        <w:t>The Lemon Focus Group anticipated an increase in the lemon volumes</w:t>
      </w:r>
      <w:r w:rsidR="003D70AB">
        <w:rPr>
          <w:bCs/>
        </w:rPr>
        <w:t xml:space="preserve"> in the years to come</w:t>
      </w:r>
      <w:r>
        <w:rPr>
          <w:bCs/>
        </w:rPr>
        <w:t xml:space="preserve"> as the young orchards are coming into production. </w:t>
      </w:r>
    </w:p>
    <w:p w:rsidR="00BC240D" w:rsidRPr="00BC240D" w:rsidRDefault="009D738E" w:rsidP="00BC240D">
      <w:pPr>
        <w:spacing w:after="0" w:line="240" w:lineRule="auto"/>
        <w:jc w:val="both"/>
        <w:rPr>
          <w:rFonts w:eastAsia="Times New Roman" w:cs="Calibri"/>
          <w:b/>
          <w:i/>
          <w:color w:val="000000"/>
          <w:lang w:eastAsia="en-ZA"/>
        </w:rPr>
      </w:pPr>
      <w:r w:rsidRPr="00BC240D">
        <w:rPr>
          <w:rFonts w:eastAsia="Times New Roman" w:cs="Calibri"/>
          <w:b/>
          <w:color w:val="FF0000"/>
          <w:u w:val="single"/>
          <w:lang w:eastAsia="en-ZA"/>
        </w:rPr>
        <w:t>Reminder:</w:t>
      </w:r>
      <w:r w:rsidR="00BC240D" w:rsidRPr="00BC240D">
        <w:rPr>
          <w:rFonts w:eastAsia="Times New Roman" w:cs="Calibri"/>
          <w:b/>
          <w:color w:val="FF0000"/>
          <w:u w:val="single"/>
          <w:lang w:eastAsia="en-ZA"/>
        </w:rPr>
        <w:t xml:space="preserve"> </w:t>
      </w:r>
      <w:r w:rsidR="00BC240D" w:rsidRPr="00BC240D">
        <w:rPr>
          <w:rFonts w:eastAsia="Times New Roman" w:cs="Calibri"/>
          <w:color w:val="FF0000"/>
          <w:lang w:eastAsia="en-ZA"/>
        </w:rPr>
        <w:t xml:space="preserve"> </w:t>
      </w:r>
      <w:r w:rsidR="00BC240D">
        <w:rPr>
          <w:rFonts w:eastAsia="Times New Roman" w:cs="Calibri"/>
          <w:b/>
          <w:i/>
          <w:color w:val="000000"/>
          <w:lang w:eastAsia="en-ZA"/>
        </w:rPr>
        <w:t>Citrus g</w:t>
      </w:r>
      <w:bookmarkStart w:id="0" w:name="_GoBack"/>
      <w:bookmarkEnd w:id="0"/>
      <w:r w:rsidR="00BC240D" w:rsidRPr="00BC240D">
        <w:rPr>
          <w:rFonts w:eastAsia="Times New Roman" w:cs="Calibri"/>
          <w:b/>
          <w:i/>
          <w:color w:val="000000"/>
          <w:lang w:eastAsia="en-ZA"/>
        </w:rPr>
        <w:t>rowers and s</w:t>
      </w:r>
      <w:r w:rsidR="00BC240D">
        <w:rPr>
          <w:rFonts w:eastAsia="Times New Roman" w:cs="Calibri"/>
          <w:b/>
          <w:i/>
          <w:color w:val="000000"/>
          <w:lang w:eastAsia="en-ZA"/>
        </w:rPr>
        <w:t xml:space="preserve">takeholders are reminded that the </w:t>
      </w:r>
      <w:r w:rsidR="00BC240D" w:rsidRPr="00BC240D">
        <w:rPr>
          <w:rFonts w:eastAsia="Times New Roman" w:cs="Calibri"/>
          <w:b/>
          <w:i/>
          <w:color w:val="000000"/>
          <w:lang w:eastAsia="en-ZA"/>
        </w:rPr>
        <w:t xml:space="preserve">Annual Citrus </w:t>
      </w:r>
      <w:r w:rsidR="00BC240D">
        <w:rPr>
          <w:rFonts w:eastAsia="Times New Roman" w:cs="Calibri"/>
          <w:b/>
          <w:i/>
          <w:color w:val="000000"/>
          <w:lang w:eastAsia="en-ZA"/>
        </w:rPr>
        <w:t>Coordinating Meeting will</w:t>
      </w:r>
      <w:r w:rsidR="00BC240D" w:rsidRPr="00BC240D">
        <w:rPr>
          <w:rFonts w:eastAsia="Times New Roman" w:cs="Calibri"/>
          <w:b/>
          <w:i/>
          <w:color w:val="000000"/>
          <w:lang w:eastAsia="en-ZA"/>
        </w:rPr>
        <w:t xml:space="preserve"> be held on </w:t>
      </w:r>
      <w:r w:rsidR="00BC240D">
        <w:rPr>
          <w:rFonts w:eastAsia="Times New Roman" w:cs="Calibri"/>
          <w:b/>
          <w:i/>
          <w:color w:val="000000"/>
          <w:lang w:eastAsia="en-ZA"/>
        </w:rPr>
        <w:t xml:space="preserve">Wednesday </w:t>
      </w:r>
      <w:r w:rsidR="00BC240D" w:rsidRPr="00BC240D">
        <w:rPr>
          <w:rFonts w:eastAsia="Times New Roman" w:cs="Calibri"/>
          <w:b/>
          <w:i/>
          <w:color w:val="000000"/>
          <w:lang w:eastAsia="en-ZA"/>
        </w:rPr>
        <w:t>13th November at Ingwenyama Conference Centre, White Rive</w:t>
      </w:r>
      <w:r w:rsidR="00BC240D">
        <w:rPr>
          <w:rFonts w:eastAsia="Times New Roman" w:cs="Calibri"/>
          <w:b/>
          <w:i/>
          <w:color w:val="000000"/>
          <w:lang w:eastAsia="en-ZA"/>
        </w:rPr>
        <w:t>r (Nelspruit)</w:t>
      </w:r>
      <w:r w:rsidR="00BC240D" w:rsidRPr="00BC240D">
        <w:rPr>
          <w:rFonts w:eastAsia="Times New Roman" w:cs="Calibri"/>
          <w:b/>
          <w:i/>
          <w:color w:val="000000"/>
          <w:lang w:eastAsia="en-ZA"/>
        </w:rPr>
        <w:t xml:space="preserve"> from 09.00 until 13.00.</w:t>
      </w:r>
    </w:p>
    <w:p w:rsidR="0067189B" w:rsidRPr="00BC240D" w:rsidRDefault="000E541C" w:rsidP="00BC240D">
      <w:pPr>
        <w:spacing w:after="0" w:line="240" w:lineRule="auto"/>
        <w:jc w:val="both"/>
        <w:rPr>
          <w:rFonts w:eastAsia="Times New Roman" w:cs="Calibri"/>
          <w:color w:val="000000"/>
          <w:lang w:eastAsia="en-ZA"/>
        </w:rPr>
      </w:pPr>
      <w:r>
        <w:rPr>
          <w:bCs/>
        </w:rPr>
        <w:t xml:space="preserve"> </w:t>
      </w:r>
      <w:r w:rsidR="00595E08" w:rsidRPr="00F40554">
        <w:rPr>
          <w:rFonts w:ascii="Arial" w:eastAsia="Times New Roman" w:hAnsi="Arial" w:cs="Arial"/>
          <w:b/>
          <w:color w:val="C45911" w:themeColor="accent2" w:themeShade="BF"/>
          <w:sz w:val="24"/>
          <w:szCs w:val="24"/>
          <w:u w:val="single"/>
          <w:lang w:val="en-US"/>
        </w:rPr>
        <w:t>PACKED AND SHIPPED</w:t>
      </w:r>
    </w:p>
    <w:p w:rsidR="00E40090" w:rsidRPr="00836320" w:rsidRDefault="00E40090" w:rsidP="00595E08">
      <w:pPr>
        <w:spacing w:after="0"/>
        <w:rPr>
          <w:rFonts w:ascii="Arial" w:eastAsia="Times New Roman" w:hAnsi="Arial" w:cs="Arial"/>
          <w:b/>
          <w:color w:val="C45911" w:themeColor="accent2" w:themeShade="BF"/>
          <w:sz w:val="6"/>
          <w:szCs w:val="6"/>
          <w:u w:val="single"/>
          <w:lang w:val="en-US"/>
        </w:rPr>
      </w:pPr>
    </w:p>
    <w:p w:rsidR="007830CC" w:rsidRDefault="00455927" w:rsidP="007830CC">
      <w:r>
        <w:rPr>
          <w:noProof/>
          <w:lang w:eastAsia="en-ZA"/>
        </w:rPr>
        <w:drawing>
          <wp:inline distT="0" distB="0" distL="0" distR="0">
            <wp:extent cx="6558246" cy="1621028"/>
            <wp:effectExtent l="0" t="0" r="0" b="0"/>
            <wp:docPr id="2" name="Picture 2" descr="cid:image004.png@01D59586.51251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59586.51251A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687823" cy="1653056"/>
                    </a:xfrm>
                    <a:prstGeom prst="rect">
                      <a:avLst/>
                    </a:prstGeom>
                    <a:noFill/>
                    <a:ln>
                      <a:noFill/>
                    </a:ln>
                  </pic:spPr>
                </pic:pic>
              </a:graphicData>
            </a:graphic>
          </wp:inline>
        </w:drawing>
      </w:r>
    </w:p>
    <w:sectPr w:rsidR="007830CC" w:rsidSect="005859D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96C" w:rsidRDefault="0013496C" w:rsidP="00595E08">
      <w:pPr>
        <w:spacing w:after="0" w:line="240" w:lineRule="auto"/>
      </w:pPr>
      <w:r>
        <w:separator/>
      </w:r>
    </w:p>
  </w:endnote>
  <w:endnote w:type="continuationSeparator" w:id="0">
    <w:p w:rsidR="0013496C" w:rsidRDefault="0013496C"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275" w:rsidRPr="00EF7AA5" w:rsidRDefault="00DD3275" w:rsidP="00DD3275">
    <w:pPr>
      <w:spacing w:after="0" w:line="240" w:lineRule="auto"/>
      <w:ind w:right="-330"/>
      <w:jc w:val="center"/>
      <w:rPr>
        <w:rFonts w:ascii="Arial" w:hAnsi="Arial" w:cs="Arial"/>
        <w:b/>
        <w:color w:val="00B050"/>
        <w:sz w:val="21"/>
        <w:szCs w:val="21"/>
      </w:rPr>
    </w:pPr>
    <w:r w:rsidRPr="00EF7AA5">
      <w:rPr>
        <w:rFonts w:ascii="Arial" w:hAnsi="Arial" w:cs="Arial"/>
        <w:b/>
        <w:color w:val="00B050"/>
        <w:sz w:val="21"/>
        <w:szCs w:val="21"/>
      </w:rPr>
      <w:t>CGA GROUP OF COMPANIES (CRI, RIVER BIOSCIENCE, XSIT, CGA CULTIVAR COMPANY,</w:t>
    </w:r>
  </w:p>
  <w:p w:rsidR="00DD3275" w:rsidRPr="00EF7AA5" w:rsidRDefault="00DD3275" w:rsidP="00DD3275">
    <w:pPr>
      <w:spacing w:after="0" w:line="240" w:lineRule="auto"/>
      <w:ind w:right="-330"/>
      <w:jc w:val="center"/>
      <w:rPr>
        <w:rFonts w:ascii="Arial" w:hAnsi="Arial" w:cs="Arial"/>
        <w:b/>
        <w:color w:val="00B050"/>
        <w:sz w:val="21"/>
        <w:szCs w:val="21"/>
      </w:rPr>
    </w:pPr>
    <w:r w:rsidRPr="00EF7AA5">
      <w:rPr>
        <w:rFonts w:ascii="Arial" w:hAnsi="Arial" w:cs="Arial"/>
        <w:b/>
        <w:color w:val="00B050"/>
        <w:sz w:val="21"/>
        <w:szCs w:val="21"/>
      </w:rPr>
      <w:t>CGA GROWER DEVELOPMENT COMPANY &amp; CITRUS ACADEMY) ARE FUNDED BY THE</w:t>
    </w:r>
  </w:p>
  <w:p w:rsidR="00DD3275" w:rsidRDefault="00DD3275" w:rsidP="00DD3275">
    <w:pPr>
      <w:pStyle w:val="Footer"/>
      <w:jc w:val="center"/>
    </w:pPr>
    <w:r w:rsidRPr="00EF7AA5">
      <w:rPr>
        <w:rFonts w:ascii="Arial" w:hAnsi="Arial" w:cs="Arial"/>
        <w:b/>
        <w:color w:val="00B050"/>
        <w:sz w:val="21"/>
        <w:szCs w:val="21"/>
      </w:rPr>
      <w:t>SOUTHERN AFRICAN CITRUS GROWERS</w:t>
    </w:r>
  </w:p>
  <w:p w:rsidR="00595E08" w:rsidRDefault="00595E08"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96C" w:rsidRDefault="0013496C" w:rsidP="00595E08">
      <w:pPr>
        <w:spacing w:after="0" w:line="240" w:lineRule="auto"/>
      </w:pPr>
      <w:r>
        <w:separator/>
      </w:r>
    </w:p>
  </w:footnote>
  <w:footnote w:type="continuationSeparator" w:id="0">
    <w:p w:rsidR="0013496C" w:rsidRDefault="0013496C" w:rsidP="00595E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5FE2"/>
    <w:rsid w:val="00047EA1"/>
    <w:rsid w:val="000A39E7"/>
    <w:rsid w:val="000D7425"/>
    <w:rsid w:val="000E541C"/>
    <w:rsid w:val="000F5B14"/>
    <w:rsid w:val="00110F70"/>
    <w:rsid w:val="00122FC7"/>
    <w:rsid w:val="0013496C"/>
    <w:rsid w:val="00174465"/>
    <w:rsid w:val="00175734"/>
    <w:rsid w:val="001757E7"/>
    <w:rsid w:val="001A29BD"/>
    <w:rsid w:val="001B203D"/>
    <w:rsid w:val="001C679B"/>
    <w:rsid w:val="001D573C"/>
    <w:rsid w:val="002176D6"/>
    <w:rsid w:val="00225418"/>
    <w:rsid w:val="00230CA5"/>
    <w:rsid w:val="0023735C"/>
    <w:rsid w:val="002512C0"/>
    <w:rsid w:val="00297526"/>
    <w:rsid w:val="002A3E51"/>
    <w:rsid w:val="002D122B"/>
    <w:rsid w:val="0030169A"/>
    <w:rsid w:val="00313CB1"/>
    <w:rsid w:val="00361403"/>
    <w:rsid w:val="003C27D4"/>
    <w:rsid w:val="003D70AB"/>
    <w:rsid w:val="003F0C6F"/>
    <w:rsid w:val="003F2574"/>
    <w:rsid w:val="003F6E31"/>
    <w:rsid w:val="003F7804"/>
    <w:rsid w:val="00455927"/>
    <w:rsid w:val="004645E1"/>
    <w:rsid w:val="00495189"/>
    <w:rsid w:val="004C529E"/>
    <w:rsid w:val="004E0F63"/>
    <w:rsid w:val="0050561C"/>
    <w:rsid w:val="00562B1F"/>
    <w:rsid w:val="005822CF"/>
    <w:rsid w:val="005859D8"/>
    <w:rsid w:val="00595E08"/>
    <w:rsid w:val="005B6970"/>
    <w:rsid w:val="005B7B5D"/>
    <w:rsid w:val="005E05EF"/>
    <w:rsid w:val="005F2989"/>
    <w:rsid w:val="00600B79"/>
    <w:rsid w:val="006042E1"/>
    <w:rsid w:val="00611C22"/>
    <w:rsid w:val="00612231"/>
    <w:rsid w:val="006254FA"/>
    <w:rsid w:val="0063644A"/>
    <w:rsid w:val="006412FF"/>
    <w:rsid w:val="0067189B"/>
    <w:rsid w:val="006852F9"/>
    <w:rsid w:val="00690E5D"/>
    <w:rsid w:val="0069320C"/>
    <w:rsid w:val="0069350E"/>
    <w:rsid w:val="006A0B6E"/>
    <w:rsid w:val="006E0A15"/>
    <w:rsid w:val="006E394D"/>
    <w:rsid w:val="00732CB3"/>
    <w:rsid w:val="00756592"/>
    <w:rsid w:val="00757321"/>
    <w:rsid w:val="00761318"/>
    <w:rsid w:val="007830CC"/>
    <w:rsid w:val="007958FA"/>
    <w:rsid w:val="007A6F34"/>
    <w:rsid w:val="007D4D85"/>
    <w:rsid w:val="007E360C"/>
    <w:rsid w:val="007E6B47"/>
    <w:rsid w:val="0081352C"/>
    <w:rsid w:val="00836320"/>
    <w:rsid w:val="0085133F"/>
    <w:rsid w:val="00852AAD"/>
    <w:rsid w:val="0087221E"/>
    <w:rsid w:val="008755FB"/>
    <w:rsid w:val="008756F8"/>
    <w:rsid w:val="008A23F8"/>
    <w:rsid w:val="008A3110"/>
    <w:rsid w:val="008B1479"/>
    <w:rsid w:val="008B5FDB"/>
    <w:rsid w:val="00912266"/>
    <w:rsid w:val="00940202"/>
    <w:rsid w:val="00953EE0"/>
    <w:rsid w:val="00954793"/>
    <w:rsid w:val="00954DBD"/>
    <w:rsid w:val="00955884"/>
    <w:rsid w:val="0097764C"/>
    <w:rsid w:val="009A1B72"/>
    <w:rsid w:val="009D0040"/>
    <w:rsid w:val="009D709A"/>
    <w:rsid w:val="009D738E"/>
    <w:rsid w:val="00A20F03"/>
    <w:rsid w:val="00A31AD6"/>
    <w:rsid w:val="00A320B1"/>
    <w:rsid w:val="00A54595"/>
    <w:rsid w:val="00A837EA"/>
    <w:rsid w:val="00AA51FF"/>
    <w:rsid w:val="00AB5EC1"/>
    <w:rsid w:val="00AC7D19"/>
    <w:rsid w:val="00B0109A"/>
    <w:rsid w:val="00B04E97"/>
    <w:rsid w:val="00B06DA7"/>
    <w:rsid w:val="00B673C4"/>
    <w:rsid w:val="00B84D8D"/>
    <w:rsid w:val="00BA3973"/>
    <w:rsid w:val="00BB0DE8"/>
    <w:rsid w:val="00BB4B0B"/>
    <w:rsid w:val="00BC0F93"/>
    <w:rsid w:val="00BC240D"/>
    <w:rsid w:val="00BE1805"/>
    <w:rsid w:val="00BF0FF8"/>
    <w:rsid w:val="00BF1983"/>
    <w:rsid w:val="00C02E4C"/>
    <w:rsid w:val="00C35B43"/>
    <w:rsid w:val="00C41489"/>
    <w:rsid w:val="00C510B2"/>
    <w:rsid w:val="00C51114"/>
    <w:rsid w:val="00CB303A"/>
    <w:rsid w:val="00CF5E26"/>
    <w:rsid w:val="00D219B0"/>
    <w:rsid w:val="00D278A3"/>
    <w:rsid w:val="00D67D4B"/>
    <w:rsid w:val="00D84A21"/>
    <w:rsid w:val="00D94669"/>
    <w:rsid w:val="00DA0CE9"/>
    <w:rsid w:val="00DC4F50"/>
    <w:rsid w:val="00DD3275"/>
    <w:rsid w:val="00E017AC"/>
    <w:rsid w:val="00E0676F"/>
    <w:rsid w:val="00E14724"/>
    <w:rsid w:val="00E31082"/>
    <w:rsid w:val="00E3323F"/>
    <w:rsid w:val="00E40090"/>
    <w:rsid w:val="00EA7106"/>
    <w:rsid w:val="00EA717C"/>
    <w:rsid w:val="00ED209B"/>
    <w:rsid w:val="00EE6C36"/>
    <w:rsid w:val="00F208EC"/>
    <w:rsid w:val="00F34519"/>
    <w:rsid w:val="00F40554"/>
    <w:rsid w:val="00F679DE"/>
    <w:rsid w:val="00F867C4"/>
    <w:rsid w:val="00FA6F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B696C"/>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cid:image004.png@01D59586.51251A40" TargetMode="External"/><Relationship Id="rId4" Type="http://schemas.openxmlformats.org/officeDocument/2006/relationships/footnotes" Target="footnote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Portia\Google%20Drive\Documents\2019%20Season%20Summaries\1_Portia\Focus%20Groups\Lemon%20FG_2019\Lemons%20Worksheet.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ortia\Google%20Drive\Documents\2019%20Season%20Summaries\1_Portia\Focus%20Groups\Lemon%20FG_2019\Lemons%20Workshee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ZA">
                <a:solidFill>
                  <a:schemeClr val="tx1"/>
                </a:solidFill>
              </a:rPr>
              <a:t>Southern African Lemon Exports</a:t>
            </a:r>
          </a:p>
        </c:rich>
      </c:tx>
      <c:layout>
        <c:manualLayout>
          <c:xMode val="edge"/>
          <c:yMode val="edge"/>
          <c:x val="0.26977473740235752"/>
          <c:y val="4.915504396031213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5015815865959101"/>
          <c:y val="0.22260169091766754"/>
          <c:w val="0.82094352520050307"/>
          <c:h val="0.61679499739951871"/>
        </c:manualLayout>
      </c:layout>
      <c:barChart>
        <c:barDir val="col"/>
        <c:grouping val="clustered"/>
        <c:varyColors val="0"/>
        <c:ser>
          <c:idx val="0"/>
          <c:order val="0"/>
          <c:spPr>
            <a:solidFill>
              <a:schemeClr val="accent1"/>
            </a:solidFill>
            <a:ln>
              <a:noFill/>
            </a:ln>
            <a:effectLst/>
          </c:spPr>
          <c:invertIfNegative val="0"/>
          <c:cat>
            <c:numRef>
              <c:f>('D:\[2019 Citrus data and graphs.xlsx]Lemons'!$A$26:$A$34,'D:\[2019 Citrus data and graphs.xlsx]Lemons'!$A$36)</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('D:\[2019 Citrus data and graphs.xlsx]Lemons'!$A$26:$A$34,'D:\[2019 Citrus data and graphs.xlsx]Lemons'!$A$36)</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val>
          <c:extLst>
            <c:ext xmlns:c16="http://schemas.microsoft.com/office/drawing/2014/chart" uri="{C3380CC4-5D6E-409C-BE32-E72D297353CC}">
              <c16:uniqueId val="{00000000-4579-4D25-B432-BDF6CED4C543}"/>
            </c:ext>
          </c:extLst>
        </c:ser>
        <c:ser>
          <c:idx val="1"/>
          <c:order val="1"/>
          <c:spPr>
            <a:solidFill>
              <a:srgbClr val="92D050"/>
            </a:solidFill>
            <a:ln>
              <a:noFill/>
            </a:ln>
            <a:effectLst/>
          </c:spPr>
          <c:invertIfNegative val="0"/>
          <c:dPt>
            <c:idx val="4"/>
            <c:invertIfNegative val="0"/>
            <c:bubble3D val="0"/>
            <c:extLst>
              <c:ext xmlns:c16="http://schemas.microsoft.com/office/drawing/2014/chart" uri="{C3380CC4-5D6E-409C-BE32-E72D297353CC}">
                <c16:uniqueId val="{00000001-4579-4D25-B432-BDF6CED4C543}"/>
              </c:ext>
            </c:extLst>
          </c:dPt>
          <c:dPt>
            <c:idx val="5"/>
            <c:invertIfNegative val="0"/>
            <c:bubble3D val="0"/>
            <c:extLst>
              <c:ext xmlns:c16="http://schemas.microsoft.com/office/drawing/2014/chart" uri="{C3380CC4-5D6E-409C-BE32-E72D297353CC}">
                <c16:uniqueId val="{00000002-4579-4D25-B432-BDF6CED4C543}"/>
              </c:ext>
            </c:extLst>
          </c:dPt>
          <c:dPt>
            <c:idx val="6"/>
            <c:invertIfNegative val="0"/>
            <c:bubble3D val="0"/>
            <c:extLst>
              <c:ext xmlns:c16="http://schemas.microsoft.com/office/drawing/2014/chart" uri="{C3380CC4-5D6E-409C-BE32-E72D297353CC}">
                <c16:uniqueId val="{00000003-4579-4D25-B432-BDF6CED4C543}"/>
              </c:ext>
            </c:extLst>
          </c:dPt>
          <c:dPt>
            <c:idx val="8"/>
            <c:invertIfNegative val="0"/>
            <c:bubble3D val="0"/>
            <c:extLst>
              <c:ext xmlns:c16="http://schemas.microsoft.com/office/drawing/2014/chart" uri="{C3380CC4-5D6E-409C-BE32-E72D297353CC}">
                <c16:uniqueId val="{00000004-4579-4D25-B432-BDF6CED4C543}"/>
              </c:ext>
            </c:extLst>
          </c:dPt>
          <c:dPt>
            <c:idx val="9"/>
            <c:invertIfNegative val="0"/>
            <c:bubble3D val="0"/>
            <c:spPr>
              <a:pattFill prst="trellis">
                <a:fgClr>
                  <a:srgbClr val="FFFF00"/>
                </a:fgClr>
                <a:bgClr>
                  <a:schemeClr val="bg1"/>
                </a:bgClr>
              </a:pattFill>
              <a:ln>
                <a:noFill/>
              </a:ln>
              <a:effectLst/>
            </c:spPr>
            <c:extLst>
              <c:ext xmlns:c16="http://schemas.microsoft.com/office/drawing/2014/chart" uri="{C3380CC4-5D6E-409C-BE32-E72D297353CC}">
                <c16:uniqueId val="{00000006-4579-4D25-B432-BDF6CED4C543}"/>
              </c:ext>
            </c:extLst>
          </c:dPt>
          <c:cat>
            <c:numRef>
              <c:f>('D:\[2019 Citrus data and graphs.xlsx]Lemons'!$A$26:$A$34,'D:\[2019 Citrus data and graphs.xlsx]Lemons'!$A$36)</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('D:\[2019 Citrus data and graphs.xlsx]Lemons'!$B$26:$B$34,'D:\[2019 Citrus data and graphs.xlsx]Lemons'!$B$36)</c:f>
              <c:numCache>
                <c:formatCode>General</c:formatCode>
                <c:ptCount val="10"/>
                <c:pt idx="0">
                  <c:v>9607263.2000000477</c:v>
                </c:pt>
                <c:pt idx="1">
                  <c:v>10749037.219999999</c:v>
                </c:pt>
                <c:pt idx="2">
                  <c:v>10512106</c:v>
                </c:pt>
                <c:pt idx="3">
                  <c:v>10626934</c:v>
                </c:pt>
                <c:pt idx="4">
                  <c:v>13222986</c:v>
                </c:pt>
                <c:pt idx="5">
                  <c:v>15073636</c:v>
                </c:pt>
                <c:pt idx="6">
                  <c:v>15057211</c:v>
                </c:pt>
                <c:pt idx="7">
                  <c:v>19021177</c:v>
                </c:pt>
                <c:pt idx="8">
                  <c:v>19886684</c:v>
                </c:pt>
                <c:pt idx="9">
                  <c:v>22283100</c:v>
                </c:pt>
              </c:numCache>
            </c:numRef>
          </c:val>
          <c:extLst>
            <c:ext xmlns:c16="http://schemas.microsoft.com/office/drawing/2014/chart" uri="{C3380CC4-5D6E-409C-BE32-E72D297353CC}">
              <c16:uniqueId val="{00000007-4579-4D25-B432-BDF6CED4C543}"/>
            </c:ext>
          </c:extLst>
        </c:ser>
        <c:dLbls>
          <c:showLegendKey val="0"/>
          <c:showVal val="0"/>
          <c:showCatName val="0"/>
          <c:showSerName val="0"/>
          <c:showPercent val="0"/>
          <c:showBubbleSize val="0"/>
        </c:dLbls>
        <c:gapWidth val="219"/>
        <c:overlap val="-27"/>
        <c:axId val="554737688"/>
        <c:axId val="554741216"/>
      </c:barChart>
      <c:catAx>
        <c:axId val="554737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54741216"/>
        <c:crosses val="autoZero"/>
        <c:auto val="1"/>
        <c:lblAlgn val="ctr"/>
        <c:lblOffset val="100"/>
        <c:noMultiLvlLbl val="0"/>
      </c:catAx>
      <c:valAx>
        <c:axId val="554741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54737688"/>
        <c:crosses val="autoZero"/>
        <c:crossBetween val="between"/>
        <c:dispUnits>
          <c:builtInUnit val="millions"/>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ZA">
                <a:solidFill>
                  <a:sysClr val="windowText" lastClr="000000"/>
                </a:solidFill>
              </a:rPr>
              <a:t>Importing </a:t>
            </a:r>
            <a:r>
              <a:rPr lang="en-ZA" baseline="0">
                <a:solidFill>
                  <a:sysClr val="windowText" lastClr="000000"/>
                </a:solidFill>
              </a:rPr>
              <a:t>countries</a:t>
            </a:r>
          </a:p>
        </c:rich>
      </c:tx>
      <c:layout>
        <c:manualLayout>
          <c:xMode val="edge"/>
          <c:yMode val="edge"/>
          <c:x val="0.36147407005158838"/>
          <c:y val="2.230649118893597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1994216671191963"/>
          <c:y val="0.1401075980826956"/>
          <c:w val="0.6957039084350326"/>
          <c:h val="0.58176734154048282"/>
        </c:manualLayout>
      </c:layout>
      <c:barChart>
        <c:barDir val="col"/>
        <c:grouping val="clustered"/>
        <c:varyColors val="0"/>
        <c:ser>
          <c:idx val="0"/>
          <c:order val="0"/>
          <c:tx>
            <c:strRef>
              <c:f>Sheet1!$B$16</c:f>
              <c:strCache>
                <c:ptCount val="1"/>
                <c:pt idx="0">
                  <c:v>2019</c:v>
                </c:pt>
              </c:strCache>
            </c:strRef>
          </c:tx>
          <c:spPr>
            <a:solidFill>
              <a:srgbClr val="FFFF00"/>
            </a:solidFill>
            <a:ln>
              <a:noFill/>
            </a:ln>
            <a:effectLst/>
          </c:spPr>
          <c:invertIfNegative val="0"/>
          <c:dLbls>
            <c:delete val="1"/>
          </c:dLbls>
          <c:cat>
            <c:strRef>
              <c:f>Sheet1!$A$17:$A$28</c:f>
              <c:strCache>
                <c:ptCount val="6"/>
                <c:pt idx="0">
                  <c:v>Netherlands</c:v>
                </c:pt>
                <c:pt idx="1">
                  <c:v>United Arab Emirates</c:v>
                </c:pt>
                <c:pt idx="2">
                  <c:v>Saudi Arabia</c:v>
                </c:pt>
                <c:pt idx="3">
                  <c:v>Russia</c:v>
                </c:pt>
                <c:pt idx="4">
                  <c:v>UK</c:v>
                </c:pt>
                <c:pt idx="5">
                  <c:v>Iraq</c:v>
                </c:pt>
              </c:strCache>
              <c:extLst/>
            </c:strRef>
          </c:cat>
          <c:val>
            <c:numRef>
              <c:f>Sheet1!$B$17:$B$28</c:f>
              <c:numCache>
                <c:formatCode>_-* #,##0_-;\-* #,##0_-;_-* "-"??_-;_-@_-</c:formatCode>
                <c:ptCount val="6"/>
                <c:pt idx="0">
                  <c:v>41000</c:v>
                </c:pt>
                <c:pt idx="1">
                  <c:v>38000</c:v>
                </c:pt>
                <c:pt idx="2">
                  <c:v>30000</c:v>
                </c:pt>
                <c:pt idx="3">
                  <c:v>27000</c:v>
                </c:pt>
                <c:pt idx="4">
                  <c:v>21000</c:v>
                </c:pt>
                <c:pt idx="5">
                  <c:v>20000</c:v>
                </c:pt>
              </c:numCache>
              <c:extLst/>
            </c:numRef>
          </c:val>
          <c:extLst>
            <c:ext xmlns:c16="http://schemas.microsoft.com/office/drawing/2014/chart" uri="{C3380CC4-5D6E-409C-BE32-E72D297353CC}">
              <c16:uniqueId val="{00000000-52A9-43B0-8777-6DECE575FE2B}"/>
            </c:ext>
          </c:extLst>
        </c:ser>
        <c:ser>
          <c:idx val="1"/>
          <c:order val="1"/>
          <c:tx>
            <c:strRef>
              <c:f>Sheet1!$C$16</c:f>
              <c:strCache>
                <c:ptCount val="1"/>
                <c:pt idx="0">
                  <c:v>2018</c:v>
                </c:pt>
              </c:strCache>
            </c:strRef>
          </c:tx>
          <c:spPr>
            <a:solidFill>
              <a:srgbClr val="92D050"/>
            </a:solidFill>
            <a:ln>
              <a:noFill/>
            </a:ln>
            <a:effectLst/>
          </c:spPr>
          <c:invertIfNegative val="0"/>
          <c:dLbls>
            <c:delete val="1"/>
          </c:dLbls>
          <c:cat>
            <c:strRef>
              <c:f>Sheet1!$A$17:$A$28</c:f>
              <c:strCache>
                <c:ptCount val="6"/>
                <c:pt idx="0">
                  <c:v>Netherlands</c:v>
                </c:pt>
                <c:pt idx="1">
                  <c:v>United Arab Emirates</c:v>
                </c:pt>
                <c:pt idx="2">
                  <c:v>Saudi Arabia</c:v>
                </c:pt>
                <c:pt idx="3">
                  <c:v>Russia</c:v>
                </c:pt>
                <c:pt idx="4">
                  <c:v>UK</c:v>
                </c:pt>
                <c:pt idx="5">
                  <c:v>Iraq</c:v>
                </c:pt>
              </c:strCache>
              <c:extLst/>
            </c:strRef>
          </c:cat>
          <c:val>
            <c:numRef>
              <c:f>Sheet1!$C$17:$C$28</c:f>
              <c:numCache>
                <c:formatCode>_-* #,##0_-;\-* #,##0_-;_-* "-"??_-;_-@_-</c:formatCode>
                <c:ptCount val="6"/>
                <c:pt idx="0">
                  <c:v>48000</c:v>
                </c:pt>
                <c:pt idx="1">
                  <c:v>46000</c:v>
                </c:pt>
                <c:pt idx="2">
                  <c:v>28000</c:v>
                </c:pt>
                <c:pt idx="3">
                  <c:v>27000</c:v>
                </c:pt>
                <c:pt idx="4">
                  <c:v>24000</c:v>
                </c:pt>
                <c:pt idx="5">
                  <c:v>7000</c:v>
                </c:pt>
              </c:numCache>
              <c:extLst/>
            </c:numRef>
          </c:val>
          <c:extLst>
            <c:ext xmlns:c16="http://schemas.microsoft.com/office/drawing/2014/chart" uri="{C3380CC4-5D6E-409C-BE32-E72D297353CC}">
              <c16:uniqueId val="{00000001-52A9-43B0-8777-6DECE575FE2B}"/>
            </c:ext>
          </c:extLst>
        </c:ser>
        <c:dLbls>
          <c:dLblPos val="outEnd"/>
          <c:showLegendKey val="0"/>
          <c:showVal val="1"/>
          <c:showCatName val="0"/>
          <c:showSerName val="0"/>
          <c:showPercent val="0"/>
          <c:showBubbleSize val="0"/>
        </c:dLbls>
        <c:gapWidth val="219"/>
        <c:overlap val="-27"/>
        <c:axId val="529859944"/>
        <c:axId val="529489680"/>
      </c:barChart>
      <c:catAx>
        <c:axId val="529859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29489680"/>
        <c:crosses val="autoZero"/>
        <c:auto val="1"/>
        <c:lblAlgn val="ctr"/>
        <c:lblOffset val="100"/>
        <c:noMultiLvlLbl val="0"/>
      </c:catAx>
      <c:valAx>
        <c:axId val="529489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ZA" baseline="0">
                    <a:solidFill>
                      <a:sysClr val="windowText" lastClr="000000"/>
                    </a:solidFill>
                  </a:rPr>
                  <a:t>Tonnes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29859944"/>
        <c:crosses val="autoZero"/>
        <c:crossBetween val="between"/>
      </c:valAx>
      <c:spPr>
        <a:noFill/>
        <a:ln>
          <a:noFill/>
        </a:ln>
        <a:effectLst/>
      </c:spPr>
    </c:plotArea>
    <c:legend>
      <c:legendPos val="b"/>
      <c:layout>
        <c:manualLayout>
          <c:xMode val="edge"/>
          <c:yMode val="edge"/>
          <c:x val="0.45602823784957908"/>
          <c:y val="0.90686987236120353"/>
          <c:w val="0.23277111050773824"/>
          <c:h val="6.6362338212073241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0.01597</cdr:x>
      <cdr:y>0.12903</cdr:y>
    </cdr:from>
    <cdr:to>
      <cdr:x>0.07952</cdr:x>
      <cdr:y>0.83871</cdr:y>
    </cdr:to>
    <cdr:sp macro="" textlink="">
      <cdr:nvSpPr>
        <cdr:cNvPr id="2" name="TextBox 1"/>
        <cdr:cNvSpPr txBox="1"/>
      </cdr:nvSpPr>
      <cdr:spPr>
        <a:xfrm xmlns:a="http://schemas.openxmlformats.org/drawingml/2006/main">
          <a:off x="76525" y="266700"/>
          <a:ext cx="304476" cy="1466850"/>
        </a:xfrm>
        <a:prstGeom xmlns:a="http://schemas.openxmlformats.org/drawingml/2006/main" prst="rect">
          <a:avLst/>
        </a:prstGeom>
      </cdr:spPr>
      <cdr:txBody>
        <a:bodyPr xmlns:a="http://schemas.openxmlformats.org/drawingml/2006/main" vertOverflow="clip" vert="vert270" wrap="square" rtlCol="0" anchor="ctr"/>
        <a:lstStyle xmlns:a="http://schemas.openxmlformats.org/drawingml/2006/main"/>
        <a:p xmlns:a="http://schemas.openxmlformats.org/drawingml/2006/main">
          <a:r>
            <a:rPr lang="en-ZA" sz="1200" baseline="0"/>
            <a:t>Million 15kg cartons</a:t>
          </a:r>
          <a:endParaRPr lang="en-ZA" sz="12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4</cp:revision>
  <dcterms:created xsi:type="dcterms:W3CDTF">2019-11-08T07:07:00Z</dcterms:created>
  <dcterms:modified xsi:type="dcterms:W3CDTF">2019-11-08T07:20:00Z</dcterms:modified>
</cp:coreProperties>
</file>