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CE0436">
        <w:rPr>
          <w:rFonts w:asciiTheme="minorHAnsi" w:hAnsiTheme="minorHAnsi" w:cstheme="minorHAnsi"/>
          <w:b/>
          <w:i/>
          <w:sz w:val="24"/>
          <w:szCs w:val="24"/>
        </w:rPr>
        <w:t>16</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CE0436" w:rsidP="00A751D8">
      <w:pPr>
        <w:rPr>
          <w:rFonts w:asciiTheme="minorHAnsi" w:hAnsiTheme="minorHAnsi" w:cstheme="minorHAnsi"/>
          <w:i/>
          <w:sz w:val="24"/>
          <w:szCs w:val="24"/>
        </w:rPr>
      </w:pPr>
      <w:r>
        <w:rPr>
          <w:rFonts w:asciiTheme="minorHAnsi" w:hAnsiTheme="minorHAnsi" w:cstheme="minorHAnsi"/>
          <w:i/>
          <w:sz w:val="24"/>
          <w:szCs w:val="24"/>
        </w:rPr>
        <w:t>Justin Chadwick 30</w:t>
      </w:r>
      <w:r w:rsidR="00F432FE">
        <w:rPr>
          <w:rFonts w:asciiTheme="minorHAnsi" w:hAnsiTheme="minorHAnsi" w:cstheme="minorHAnsi"/>
          <w:i/>
          <w:sz w:val="24"/>
          <w:szCs w:val="24"/>
        </w:rPr>
        <w:t xml:space="preserve">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rsidTr="00ED209B">
        <w:trPr>
          <w:trHeight w:val="555"/>
          <w:tblCellSpacing w:w="0" w:type="dxa"/>
        </w:trPr>
        <w:tc>
          <w:tcPr>
            <w:tcW w:w="10824" w:type="dxa"/>
            <w:vAlign w:val="center"/>
          </w:tcPr>
          <w:p w:rsidR="00836320" w:rsidRPr="00CE0436" w:rsidRDefault="00CE0436" w:rsidP="00E62F08">
            <w:pPr>
              <w:spacing w:after="0"/>
              <w:ind w:right="-329"/>
              <w:rPr>
                <w:rFonts w:asciiTheme="minorHAnsi" w:hAnsiTheme="minorHAnsi" w:cstheme="minorHAnsi"/>
                <w:b/>
                <w:i/>
                <w:sz w:val="28"/>
                <w:szCs w:val="28"/>
                <w:lang w:val="en-US"/>
              </w:rPr>
            </w:pPr>
            <w:r w:rsidRPr="00CE0436">
              <w:rPr>
                <w:rFonts w:ascii="Arial" w:hAnsi="Arial" w:cs="Arial"/>
                <w:b/>
                <w:i/>
                <w:color w:val="2D2D2D"/>
                <w:shd w:val="clear" w:color="auto" w:fill="FFFFFF"/>
              </w:rPr>
              <w:t>“No man can be successful, unless he first loves his work.” - David Sarnoff, CEO of RCA</w:t>
            </w:r>
          </w:p>
        </w:tc>
      </w:tr>
    </w:tbl>
    <w:p w:rsidR="00DD3A75" w:rsidRPr="002F2B2B" w:rsidRDefault="0085105B" w:rsidP="00DD3A75">
      <w:pPr>
        <w:spacing w:after="0"/>
        <w:rPr>
          <w:rFonts w:eastAsiaTheme="minorHAnsi"/>
          <w:sz w:val="24"/>
          <w:szCs w:val="24"/>
        </w:rPr>
      </w:pPr>
      <w:r>
        <w:rPr>
          <w:rFonts w:asciiTheme="minorHAnsi" w:eastAsia="Times New Roman" w:hAnsiTheme="minorHAnsi" w:cstheme="minorHAnsi"/>
          <w:b/>
          <w:color w:val="7030A0"/>
          <w:sz w:val="24"/>
          <w:szCs w:val="24"/>
          <w:u w:val="single"/>
          <w:lang w:val="en-US"/>
        </w:rPr>
        <w:t>DEVELOPING INFORMATION PLATFORMS TO ENHANCE EXPORT CAPABILITIES</w:t>
      </w:r>
      <w:r w:rsidR="001E7475">
        <w:rPr>
          <w:rFonts w:asciiTheme="minorHAnsi" w:eastAsia="Times New Roman" w:hAnsiTheme="minorHAnsi" w:cstheme="minorHAnsi"/>
          <w:b/>
          <w:color w:val="7030A0"/>
          <w:sz w:val="24"/>
          <w:szCs w:val="24"/>
          <w:u w:val="single"/>
          <w:lang w:val="en-US"/>
        </w:rPr>
        <w:t xml:space="preserve"> (M BROOKE)</w:t>
      </w:r>
    </w:p>
    <w:p w:rsidR="002F2B2B" w:rsidRPr="0085105B" w:rsidRDefault="00522189" w:rsidP="00055F10">
      <w:pPr>
        <w:spacing w:after="0"/>
        <w:jc w:val="both"/>
        <w:rPr>
          <w:rFonts w:asciiTheme="minorHAnsi" w:eastAsia="Times New Roman" w:hAnsiTheme="minorHAnsi" w:cstheme="minorHAnsi"/>
          <w:color w:val="7030A0"/>
          <w:sz w:val="24"/>
          <w:szCs w:val="24"/>
          <w:lang w:val="en-US"/>
        </w:rPr>
      </w:pPr>
      <w:r>
        <w:rPr>
          <w:sz w:val="24"/>
          <w:szCs w:val="24"/>
          <w:lang w:val="en-US"/>
        </w:rPr>
        <w:t>Considering the information platforms that have been created or developed up to this point via PPECB, Agrihub, eCe</w:t>
      </w:r>
      <w:r w:rsidR="00D55264">
        <w:rPr>
          <w:sz w:val="24"/>
          <w:szCs w:val="24"/>
          <w:lang w:val="en-US"/>
        </w:rPr>
        <w:t xml:space="preserve">rt, Phytclean and Transnet </w:t>
      </w:r>
      <w:proofErr w:type="spellStart"/>
      <w:r w:rsidR="00D55264">
        <w:rPr>
          <w:sz w:val="24"/>
          <w:szCs w:val="24"/>
          <w:lang w:val="en-US"/>
        </w:rPr>
        <w:t>etc</w:t>
      </w:r>
      <w:proofErr w:type="spellEnd"/>
      <w:r w:rsidR="00D55264">
        <w:rPr>
          <w:sz w:val="24"/>
          <w:szCs w:val="24"/>
          <w:lang w:val="en-US"/>
        </w:rPr>
        <w:t>, there is a minefield of opportunities</w:t>
      </w:r>
      <w:r>
        <w:rPr>
          <w:sz w:val="24"/>
          <w:szCs w:val="24"/>
          <w:lang w:val="en-US"/>
        </w:rPr>
        <w:t xml:space="preserve"> that can be created by integrating the information that is available to radically enhance the export capabilities of the industry. At this point, information relative to production is largely collected from PPECB and export information is largely collected from Agrihub. On the production side, the data collected from PPECB gives an indication of the production volume broken down mainly by variety</w:t>
      </w:r>
      <w:r w:rsidR="00D55264">
        <w:rPr>
          <w:sz w:val="24"/>
          <w:szCs w:val="24"/>
          <w:lang w:val="en-US"/>
        </w:rPr>
        <w:t>,</w:t>
      </w:r>
      <w:r w:rsidR="000E172C">
        <w:rPr>
          <w:sz w:val="24"/>
          <w:szCs w:val="24"/>
          <w:lang w:val="en-US"/>
        </w:rPr>
        <w:t xml:space="preserve"> </w:t>
      </w:r>
      <w:r>
        <w:rPr>
          <w:sz w:val="24"/>
          <w:szCs w:val="24"/>
          <w:lang w:val="en-US"/>
        </w:rPr>
        <w:t>count size</w:t>
      </w:r>
      <w:r w:rsidR="000E172C">
        <w:rPr>
          <w:sz w:val="24"/>
          <w:szCs w:val="24"/>
          <w:lang w:val="en-US"/>
        </w:rPr>
        <w:t xml:space="preserve"> </w:t>
      </w:r>
      <w:r w:rsidR="00D55264">
        <w:rPr>
          <w:sz w:val="24"/>
          <w:szCs w:val="24"/>
          <w:lang w:val="en-US"/>
        </w:rPr>
        <w:t>and</w:t>
      </w:r>
      <w:r w:rsidR="000E172C">
        <w:rPr>
          <w:sz w:val="24"/>
          <w:szCs w:val="24"/>
          <w:lang w:val="en-US"/>
        </w:rPr>
        <w:t xml:space="preserve"> area</w:t>
      </w:r>
      <w:r>
        <w:rPr>
          <w:sz w:val="24"/>
          <w:szCs w:val="24"/>
          <w:lang w:val="en-US"/>
        </w:rPr>
        <w:t xml:space="preserve">. </w:t>
      </w:r>
      <w:r w:rsidR="000E172C">
        <w:rPr>
          <w:sz w:val="24"/>
          <w:szCs w:val="24"/>
          <w:lang w:val="en-US"/>
        </w:rPr>
        <w:t>The data gives a</w:t>
      </w:r>
      <w:r>
        <w:rPr>
          <w:sz w:val="24"/>
          <w:szCs w:val="24"/>
          <w:lang w:val="en-US"/>
        </w:rPr>
        <w:t xml:space="preserve"> </w:t>
      </w:r>
      <w:r w:rsidR="000E172C">
        <w:rPr>
          <w:sz w:val="24"/>
          <w:szCs w:val="24"/>
          <w:lang w:val="en-US"/>
        </w:rPr>
        <w:t xml:space="preserve">relatively </w:t>
      </w:r>
      <w:r>
        <w:rPr>
          <w:sz w:val="24"/>
          <w:szCs w:val="24"/>
          <w:lang w:val="en-US"/>
        </w:rPr>
        <w:t xml:space="preserve">accurate account of the packing flows </w:t>
      </w:r>
      <w:r w:rsidR="00055F10">
        <w:rPr>
          <w:sz w:val="24"/>
          <w:szCs w:val="24"/>
          <w:lang w:val="en-US"/>
        </w:rPr>
        <w:t xml:space="preserve">but </w:t>
      </w:r>
      <w:r w:rsidR="000E172C">
        <w:rPr>
          <w:sz w:val="24"/>
          <w:szCs w:val="24"/>
          <w:lang w:val="en-US"/>
        </w:rPr>
        <w:t>only about a week after the product has been inspected and approved for export. On the side of Agrihub relative to export data, the accuracy of the information is dependent on all loading facilities providing Agrihub with the data – its 99% there and the data is submitted to Agrihub on a daily basis</w:t>
      </w:r>
      <w:r w:rsidR="00055F10">
        <w:rPr>
          <w:sz w:val="24"/>
          <w:szCs w:val="24"/>
          <w:lang w:val="en-US"/>
        </w:rPr>
        <w:t xml:space="preserve"> for extraction</w:t>
      </w:r>
      <w:r w:rsidR="000E172C">
        <w:rPr>
          <w:sz w:val="24"/>
          <w:szCs w:val="24"/>
          <w:lang w:val="en-US"/>
        </w:rPr>
        <w:t>. If the industry is to really monitor market supply and shipping optimally, there needs to be a way to track and trace product from source to destination on time and on a live</w:t>
      </w:r>
      <w:r w:rsidR="00055F10">
        <w:rPr>
          <w:sz w:val="24"/>
          <w:szCs w:val="24"/>
          <w:lang w:val="en-US"/>
        </w:rPr>
        <w:t xml:space="preserve"> end</w:t>
      </w:r>
      <w:r w:rsidR="000E172C">
        <w:rPr>
          <w:sz w:val="24"/>
          <w:szCs w:val="24"/>
          <w:lang w:val="en-US"/>
        </w:rPr>
        <w:t xml:space="preserve"> basis.</w:t>
      </w:r>
      <w:r w:rsidR="00652548">
        <w:rPr>
          <w:sz w:val="24"/>
          <w:szCs w:val="24"/>
          <w:lang w:val="en-US"/>
        </w:rPr>
        <w:t xml:space="preserve"> What is emanating from the online data platforms developed (or in process of being developed) by PPECB, eCert and Phy</w:t>
      </w:r>
      <w:r w:rsidR="00506808">
        <w:rPr>
          <w:sz w:val="24"/>
          <w:szCs w:val="24"/>
          <w:lang w:val="en-US"/>
        </w:rPr>
        <w:t>t</w:t>
      </w:r>
      <w:r w:rsidR="00652548">
        <w:rPr>
          <w:sz w:val="24"/>
          <w:szCs w:val="24"/>
          <w:lang w:val="en-US"/>
        </w:rPr>
        <w:t xml:space="preserve">clean, </w:t>
      </w:r>
      <w:r w:rsidR="003858A1">
        <w:rPr>
          <w:sz w:val="24"/>
          <w:szCs w:val="24"/>
          <w:lang w:val="en-US"/>
        </w:rPr>
        <w:t xml:space="preserve">is that the data integration can now </w:t>
      </w:r>
      <w:r w:rsidR="00055F10">
        <w:rPr>
          <w:sz w:val="24"/>
          <w:szCs w:val="24"/>
          <w:lang w:val="en-US"/>
        </w:rPr>
        <w:t xml:space="preserve">potentially </w:t>
      </w:r>
      <w:r w:rsidR="003858A1">
        <w:rPr>
          <w:sz w:val="24"/>
          <w:szCs w:val="24"/>
          <w:lang w:val="en-US"/>
        </w:rPr>
        <w:t xml:space="preserve">be developed for this purpose. </w:t>
      </w:r>
      <w:r w:rsidR="00D55264">
        <w:rPr>
          <w:sz w:val="24"/>
          <w:szCs w:val="24"/>
          <w:lang w:val="en-US"/>
        </w:rPr>
        <w:t>The CGA B</w:t>
      </w:r>
      <w:r w:rsidR="00397378">
        <w:rPr>
          <w:sz w:val="24"/>
          <w:szCs w:val="24"/>
          <w:lang w:val="en-US"/>
        </w:rPr>
        <w:t xml:space="preserve">oard have recognized that information development is necessary to ensure the longevity and competitiveness of the industry as production increases towards the 200 million 15kg eqv. carton mark. </w:t>
      </w:r>
      <w:r w:rsidR="00506808">
        <w:rPr>
          <w:sz w:val="24"/>
          <w:szCs w:val="24"/>
          <w:lang w:val="en-US"/>
        </w:rPr>
        <w:t xml:space="preserve">The CGA are in the process of procuring resources with the skill set needed to unlock this potential. The first order </w:t>
      </w:r>
      <w:r w:rsidR="00D55264">
        <w:rPr>
          <w:sz w:val="24"/>
          <w:szCs w:val="24"/>
          <w:lang w:val="en-US"/>
        </w:rPr>
        <w:t>of business in this regard</w:t>
      </w:r>
      <w:r w:rsidR="00506808">
        <w:rPr>
          <w:sz w:val="24"/>
          <w:szCs w:val="24"/>
          <w:lang w:val="en-US"/>
        </w:rPr>
        <w:t xml:space="preserve"> is to establish wi</w:t>
      </w:r>
      <w:r w:rsidR="00D55264">
        <w:rPr>
          <w:sz w:val="24"/>
          <w:szCs w:val="24"/>
          <w:lang w:val="en-US"/>
        </w:rPr>
        <w:t>th the data companies their</w:t>
      </w:r>
      <w:r w:rsidR="00506808">
        <w:rPr>
          <w:sz w:val="24"/>
          <w:szCs w:val="24"/>
          <w:lang w:val="en-US"/>
        </w:rPr>
        <w:t xml:space="preserve"> willingness and agreement to participate in this process. Understandably there are hurdles to climb in so far as regulation governing information and competition is concerned. However the data sets that are required fall well within these parameters. The end goal is to have direct line of sight of product coming into the port</w:t>
      </w:r>
      <w:r w:rsidR="0068783E">
        <w:rPr>
          <w:sz w:val="24"/>
          <w:szCs w:val="24"/>
          <w:lang w:val="en-US"/>
        </w:rPr>
        <w:t>s for export with detail on what product it is and where it is destined. Then on the export side is to have line of sight of actual shipments with traceability to end destination. Other major spin offs of this data is to monitor the logistics chain</w:t>
      </w:r>
      <w:r w:rsidR="00D55264">
        <w:rPr>
          <w:sz w:val="24"/>
          <w:szCs w:val="24"/>
          <w:lang w:val="en-US"/>
        </w:rPr>
        <w:t>’</w:t>
      </w:r>
      <w:r w:rsidR="0068783E">
        <w:rPr>
          <w:sz w:val="24"/>
          <w:szCs w:val="24"/>
          <w:lang w:val="en-US"/>
        </w:rPr>
        <w:t>s effectiveness and provide detail to enable better management of the export flows from the packhouses to the cold stores to the ports or terminals and then onto the ships and onward to destination.</w:t>
      </w:r>
      <w:r w:rsidR="00506808">
        <w:rPr>
          <w:sz w:val="24"/>
          <w:szCs w:val="24"/>
          <w:lang w:val="en-US"/>
        </w:rPr>
        <w:t xml:space="preserve"> </w:t>
      </w:r>
      <w:r w:rsidR="00F62B0F">
        <w:rPr>
          <w:sz w:val="24"/>
          <w:szCs w:val="24"/>
          <w:lang w:val="en-US"/>
        </w:rPr>
        <w:t xml:space="preserve">Other developments are being considered to greatly enhance the exporters ability to manage and control the shipping process from </w:t>
      </w:r>
      <w:r w:rsidR="00D55264">
        <w:rPr>
          <w:sz w:val="24"/>
          <w:szCs w:val="24"/>
          <w:lang w:val="en-US"/>
        </w:rPr>
        <w:t>a central hub. In conjunction with</w:t>
      </w:r>
      <w:bookmarkStart w:id="0" w:name="_GoBack"/>
      <w:bookmarkEnd w:id="0"/>
      <w:r w:rsidR="00F62B0F">
        <w:rPr>
          <w:sz w:val="24"/>
          <w:szCs w:val="24"/>
          <w:lang w:val="en-US"/>
        </w:rPr>
        <w:t xml:space="preserve"> this, Transnet</w:t>
      </w:r>
      <w:r w:rsidR="00055F10">
        <w:rPr>
          <w:sz w:val="24"/>
          <w:szCs w:val="24"/>
          <w:lang w:val="en-US"/>
        </w:rPr>
        <w:t xml:space="preserve"> Port Terminals (TPT)</w:t>
      </w:r>
      <w:r w:rsidR="00F62B0F">
        <w:rPr>
          <w:sz w:val="24"/>
          <w:szCs w:val="24"/>
          <w:lang w:val="en-US"/>
        </w:rPr>
        <w:t xml:space="preserve"> are moving forward with the development of what has been termed ‘Cargo Connect’. This systems seeks to integrate all parties linked to the shipping (import/export) process to enhance the effectiven</w:t>
      </w:r>
      <w:r w:rsidR="00055F10">
        <w:rPr>
          <w:sz w:val="24"/>
          <w:szCs w:val="24"/>
          <w:lang w:val="en-US"/>
        </w:rPr>
        <w:t>ess of landside planning and operations</w:t>
      </w:r>
      <w:r w:rsidR="00F62B0F">
        <w:rPr>
          <w:sz w:val="24"/>
          <w:szCs w:val="24"/>
          <w:lang w:val="en-US"/>
        </w:rPr>
        <w:t xml:space="preserve">. </w:t>
      </w:r>
      <w:r w:rsidR="00055F10">
        <w:rPr>
          <w:sz w:val="24"/>
          <w:szCs w:val="24"/>
          <w:lang w:val="en-US"/>
        </w:rPr>
        <w:t>If TPT</w:t>
      </w:r>
      <w:r w:rsidR="00F62B0F">
        <w:rPr>
          <w:sz w:val="24"/>
          <w:szCs w:val="24"/>
          <w:lang w:val="en-US"/>
        </w:rPr>
        <w:t xml:space="preserve"> are successful in developing and rolling out this system, it could pave the w</w:t>
      </w:r>
      <w:r w:rsidR="00055F10">
        <w:rPr>
          <w:sz w:val="24"/>
          <w:szCs w:val="24"/>
          <w:lang w:val="en-US"/>
        </w:rPr>
        <w:t>ay for</w:t>
      </w:r>
      <w:r w:rsidR="00F62B0F">
        <w:rPr>
          <w:sz w:val="24"/>
          <w:szCs w:val="24"/>
          <w:lang w:val="en-US"/>
        </w:rPr>
        <w:t xml:space="preserve"> </w:t>
      </w:r>
      <w:r w:rsidR="00055F10">
        <w:rPr>
          <w:sz w:val="24"/>
          <w:szCs w:val="24"/>
          <w:lang w:val="en-US"/>
        </w:rPr>
        <w:t xml:space="preserve">much </w:t>
      </w:r>
      <w:r w:rsidR="00F62B0F">
        <w:rPr>
          <w:sz w:val="24"/>
          <w:szCs w:val="24"/>
          <w:lang w:val="en-US"/>
        </w:rPr>
        <w:t xml:space="preserve">improved </w:t>
      </w:r>
      <w:r w:rsidR="00055F10">
        <w:rPr>
          <w:sz w:val="24"/>
          <w:szCs w:val="24"/>
          <w:lang w:val="en-US"/>
        </w:rPr>
        <w:t>productivity and simultaneously reducing bottlenecks and congestion.</w:t>
      </w:r>
      <w:r w:rsidR="00F62B0F">
        <w:rPr>
          <w:sz w:val="24"/>
          <w:szCs w:val="24"/>
          <w:lang w:val="en-US"/>
        </w:rPr>
        <w:t xml:space="preserve"> </w:t>
      </w:r>
      <w:r w:rsidR="00506808">
        <w:rPr>
          <w:sz w:val="24"/>
          <w:szCs w:val="24"/>
          <w:lang w:val="en-US"/>
        </w:rPr>
        <w:t xml:space="preserve">  </w:t>
      </w:r>
    </w:p>
    <w:p w:rsidR="008A5702" w:rsidRPr="008A5702" w:rsidRDefault="008A5702" w:rsidP="008A570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PACKED AND SHIPPED</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8A5702" w:rsidRPr="00901D81" w:rsidTr="00AE2187">
        <w:trPr>
          <w:trHeight w:val="401"/>
        </w:trPr>
        <w:tc>
          <w:tcPr>
            <w:tcW w:w="2027" w:type="dxa"/>
          </w:tcPr>
          <w:p w:rsidR="008A5702" w:rsidRPr="00901D81" w:rsidRDefault="008A5702" w:rsidP="00AE2187">
            <w:pPr>
              <w:spacing w:after="0" w:line="240" w:lineRule="auto"/>
              <w:rPr>
                <w:rFonts w:ascii="Arial" w:hAnsi="Arial" w:cs="Arial"/>
                <w:sz w:val="18"/>
                <w:szCs w:val="18"/>
              </w:rPr>
            </w:pPr>
            <w:r>
              <w:rPr>
                <w:rFonts w:ascii="Arial" w:hAnsi="Arial" w:cs="Arial"/>
                <w:sz w:val="18"/>
                <w:szCs w:val="18"/>
              </w:rPr>
              <w:t>To Week 17</w:t>
            </w:r>
          </w:p>
          <w:p w:rsidR="008A5702" w:rsidRPr="00901D81" w:rsidRDefault="008A5702" w:rsidP="00AE2187">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Latest</w:t>
            </w:r>
          </w:p>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r w:rsidRPr="00901D81">
              <w:rPr>
                <w:rFonts w:ascii="Arial" w:hAnsi="Arial" w:cs="Arial"/>
                <w:sz w:val="18"/>
                <w:szCs w:val="18"/>
              </w:rPr>
              <w:t>Final Packed</w:t>
            </w:r>
          </w:p>
          <w:p w:rsidR="008A5702" w:rsidRPr="00901D81" w:rsidRDefault="008A5702" w:rsidP="00AE2187">
            <w:pPr>
              <w:spacing w:after="0" w:line="240" w:lineRule="auto"/>
              <w:jc w:val="right"/>
              <w:rPr>
                <w:rFonts w:ascii="Arial" w:hAnsi="Arial" w:cs="Arial"/>
                <w:sz w:val="18"/>
                <w:szCs w:val="18"/>
              </w:rPr>
            </w:pPr>
          </w:p>
        </w:tc>
      </w:tr>
      <w:tr w:rsidR="008A5702" w:rsidRPr="00901D81" w:rsidTr="00AE2187">
        <w:trPr>
          <w:trHeight w:val="200"/>
        </w:trPr>
        <w:tc>
          <w:tcPr>
            <w:tcW w:w="2027" w:type="dxa"/>
          </w:tcPr>
          <w:p w:rsidR="008A5702" w:rsidRPr="00901D81" w:rsidRDefault="008A5702" w:rsidP="00AE2187">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2019</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2020</w:t>
            </w:r>
          </w:p>
        </w:tc>
      </w:tr>
      <w:tr w:rsidR="008A5702" w:rsidRPr="00901D81" w:rsidTr="00AE2187">
        <w:trPr>
          <w:trHeight w:val="214"/>
        </w:trPr>
        <w:tc>
          <w:tcPr>
            <w:tcW w:w="2027" w:type="dxa"/>
          </w:tcPr>
          <w:p w:rsidR="008A5702" w:rsidRPr="00901D81" w:rsidRDefault="008A5702" w:rsidP="00AE2187">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1.9 m</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2.1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3.9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0.8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1.4 m</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15.5 m</w:t>
            </w:r>
          </w:p>
        </w:tc>
      </w:tr>
      <w:tr w:rsidR="008A5702" w:rsidRPr="00901D81" w:rsidTr="00AE2187">
        <w:trPr>
          <w:trHeight w:val="200"/>
        </w:trPr>
        <w:tc>
          <w:tcPr>
            <w:tcW w:w="2027" w:type="dxa"/>
          </w:tcPr>
          <w:p w:rsidR="008A5702" w:rsidRPr="00901D81" w:rsidRDefault="008A5702" w:rsidP="00AE2187">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1.1 m</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2.2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1.2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0.9 m</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 xml:space="preserve">29.4 m </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23.6 m</w:t>
            </w:r>
          </w:p>
        </w:tc>
      </w:tr>
      <w:tr w:rsidR="008A5702" w:rsidRPr="00901D81" w:rsidTr="00AE2187">
        <w:trPr>
          <w:trHeight w:val="180"/>
        </w:trPr>
        <w:tc>
          <w:tcPr>
            <w:tcW w:w="2027" w:type="dxa"/>
          </w:tcPr>
          <w:p w:rsidR="008A5702" w:rsidRPr="00901D81" w:rsidRDefault="008A5702" w:rsidP="00AE2187">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2.9 m</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7.2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7.3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5.6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5.2 m</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8A5702" w:rsidRPr="00901D81" w:rsidTr="00AE2187">
        <w:trPr>
          <w:trHeight w:val="200"/>
        </w:trPr>
        <w:tc>
          <w:tcPr>
            <w:tcW w:w="2027" w:type="dxa"/>
          </w:tcPr>
          <w:p w:rsidR="008A5702" w:rsidRPr="00901D81" w:rsidRDefault="008A5702" w:rsidP="00AE2187">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0.2 m</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0.2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0.3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0.1 m</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lang w:val="fr-FR"/>
              </w:rPr>
            </w:pPr>
            <w:r>
              <w:rPr>
                <w:rFonts w:ascii="Arial" w:hAnsi="Arial" w:cs="Arial"/>
                <w:sz w:val="18"/>
                <w:szCs w:val="18"/>
                <w:lang w:val="fr-FR"/>
              </w:rPr>
              <w:t xml:space="preserve">26.3 m </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8A5702" w:rsidRPr="00901D81" w:rsidTr="00AE2187">
        <w:trPr>
          <w:trHeight w:val="245"/>
        </w:trPr>
        <w:tc>
          <w:tcPr>
            <w:tcW w:w="2027" w:type="dxa"/>
          </w:tcPr>
          <w:p w:rsidR="008A5702" w:rsidRPr="00901D81" w:rsidRDefault="008A5702" w:rsidP="00AE2187">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0.2 m</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55.1 m</w:t>
            </w:r>
          </w:p>
        </w:tc>
      </w:tr>
      <w:tr w:rsidR="008A5702" w:rsidRPr="00901D81" w:rsidTr="00AE2187">
        <w:trPr>
          <w:trHeight w:val="214"/>
        </w:trPr>
        <w:tc>
          <w:tcPr>
            <w:tcW w:w="2027" w:type="dxa"/>
          </w:tcPr>
          <w:p w:rsidR="008A5702" w:rsidRPr="00901D81" w:rsidRDefault="008A5702" w:rsidP="00AE2187">
            <w:pPr>
              <w:spacing w:after="0" w:line="240" w:lineRule="auto"/>
              <w:rPr>
                <w:rFonts w:ascii="Arial" w:hAnsi="Arial" w:cs="Arial"/>
                <w:sz w:val="18"/>
                <w:szCs w:val="18"/>
              </w:rPr>
            </w:pPr>
            <w:r>
              <w:rPr>
                <w:rFonts w:ascii="Arial" w:hAnsi="Arial" w:cs="Arial"/>
                <w:sz w:val="18"/>
                <w:szCs w:val="18"/>
              </w:rPr>
              <w:t>Total</w:t>
            </w: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6.3 m</w:t>
            </w: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 xml:space="preserve">11.2 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13.7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7.6 m</w:t>
            </w: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7.6 m</w:t>
            </w: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163 m</w:t>
            </w: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r>
              <w:rPr>
                <w:rFonts w:ascii="Arial" w:hAnsi="Arial" w:cs="Arial"/>
                <w:sz w:val="18"/>
                <w:szCs w:val="18"/>
              </w:rPr>
              <w:t>161.9 m</w:t>
            </w: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r>
              <w:rPr>
                <w:rFonts w:ascii="Arial" w:hAnsi="Arial" w:cs="Arial"/>
                <w:sz w:val="18"/>
                <w:szCs w:val="18"/>
              </w:rPr>
              <w:t>150 m</w:t>
            </w:r>
          </w:p>
        </w:tc>
      </w:tr>
      <w:tr w:rsidR="008A5702" w:rsidRPr="00901D81" w:rsidTr="00AE2187">
        <w:trPr>
          <w:trHeight w:val="214"/>
        </w:trPr>
        <w:tc>
          <w:tcPr>
            <w:tcW w:w="2027" w:type="dxa"/>
          </w:tcPr>
          <w:p w:rsidR="008A5702" w:rsidRDefault="008A5702" w:rsidP="00AE2187">
            <w:pPr>
              <w:spacing w:after="0" w:line="240" w:lineRule="auto"/>
              <w:rPr>
                <w:rFonts w:ascii="Arial" w:hAnsi="Arial" w:cs="Arial"/>
                <w:sz w:val="18"/>
                <w:szCs w:val="18"/>
              </w:rPr>
            </w:pPr>
          </w:p>
        </w:tc>
        <w:tc>
          <w:tcPr>
            <w:tcW w:w="0" w:type="auto"/>
            <w:shd w:val="clear" w:color="auto" w:fill="CCCCCC"/>
          </w:tcPr>
          <w:p w:rsidR="008A5702" w:rsidRPr="00901D81" w:rsidRDefault="008A5702" w:rsidP="00AE2187">
            <w:pPr>
              <w:spacing w:after="0" w:line="240" w:lineRule="auto"/>
              <w:jc w:val="right"/>
              <w:rPr>
                <w:rFonts w:ascii="Arial" w:hAnsi="Arial" w:cs="Arial"/>
                <w:sz w:val="18"/>
                <w:szCs w:val="18"/>
              </w:rPr>
            </w:pPr>
          </w:p>
        </w:tc>
        <w:tc>
          <w:tcPr>
            <w:tcW w:w="0" w:type="auto"/>
            <w:tcBorders>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p>
        </w:tc>
        <w:tc>
          <w:tcPr>
            <w:tcW w:w="0" w:type="auto"/>
            <w:tcBorders>
              <w:top w:val="single" w:sz="4" w:space="0" w:color="auto"/>
              <w:left w:val="thinThickSmallGap" w:sz="24" w:space="0" w:color="auto"/>
              <w:bottom w:val="thinThickSmallGap" w:sz="24" w:space="0" w:color="auto"/>
              <w:right w:val="thinThickSmallGap" w:sz="24" w:space="0" w:color="auto"/>
            </w:tcBorders>
            <w:shd w:val="clear" w:color="auto" w:fill="CCCCCC"/>
          </w:tcPr>
          <w:p w:rsidR="008A5702" w:rsidRPr="00901D81" w:rsidRDefault="008A5702" w:rsidP="00AE2187">
            <w:pPr>
              <w:spacing w:after="0" w:line="240" w:lineRule="auto"/>
              <w:jc w:val="right"/>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p>
        </w:tc>
        <w:tc>
          <w:tcPr>
            <w:tcW w:w="0" w:type="auto"/>
            <w:tcBorders>
              <w:left w:val="thinThickSmallGap" w:sz="24" w:space="0" w:color="auto"/>
              <w:bottom w:val="thinThickSmallGap" w:sz="24" w:space="0" w:color="auto"/>
              <w:righ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p>
        </w:tc>
        <w:tc>
          <w:tcPr>
            <w:tcW w:w="0" w:type="auto"/>
            <w:tcBorders>
              <w:left w:val="thinThickSmallGap" w:sz="24" w:space="0" w:color="auto"/>
            </w:tcBorders>
            <w:shd w:val="clear" w:color="auto" w:fill="E6E6E6"/>
          </w:tcPr>
          <w:p w:rsidR="008A5702" w:rsidRPr="00901D81" w:rsidRDefault="008A5702" w:rsidP="00AE2187">
            <w:pPr>
              <w:spacing w:after="0" w:line="240" w:lineRule="auto"/>
              <w:jc w:val="right"/>
              <w:rPr>
                <w:rFonts w:ascii="Arial" w:hAnsi="Arial" w:cs="Arial"/>
                <w:sz w:val="18"/>
                <w:szCs w:val="18"/>
              </w:rPr>
            </w:pPr>
          </w:p>
        </w:tc>
        <w:tc>
          <w:tcPr>
            <w:tcW w:w="0" w:type="auto"/>
            <w:shd w:val="clear" w:color="auto" w:fill="E6E6E6"/>
          </w:tcPr>
          <w:p w:rsidR="008A5702" w:rsidRPr="00901D81" w:rsidRDefault="008A5702" w:rsidP="00AE2187">
            <w:pPr>
              <w:spacing w:after="0" w:line="240" w:lineRule="auto"/>
              <w:jc w:val="right"/>
              <w:rPr>
                <w:rFonts w:ascii="Arial" w:hAnsi="Arial" w:cs="Arial"/>
                <w:sz w:val="18"/>
                <w:szCs w:val="18"/>
              </w:rPr>
            </w:pPr>
          </w:p>
        </w:tc>
        <w:tc>
          <w:tcPr>
            <w:tcW w:w="0" w:type="auto"/>
            <w:shd w:val="clear" w:color="auto" w:fill="E6E6E6"/>
          </w:tcPr>
          <w:p w:rsidR="008A5702" w:rsidRPr="00901D81" w:rsidRDefault="008A5702" w:rsidP="00AE2187">
            <w:pPr>
              <w:spacing w:after="0" w:line="240" w:lineRule="auto"/>
              <w:jc w:val="center"/>
              <w:rPr>
                <w:rFonts w:ascii="Arial" w:hAnsi="Arial" w:cs="Arial"/>
                <w:sz w:val="18"/>
                <w:szCs w:val="18"/>
              </w:rPr>
            </w:pPr>
          </w:p>
        </w:tc>
      </w:tr>
    </w:tbl>
    <w:p w:rsidR="008A5702" w:rsidRDefault="008A5702" w:rsidP="008A5702"/>
    <w:p w:rsidR="00FF218A" w:rsidRPr="009B1F88" w:rsidRDefault="00FF218A" w:rsidP="00DD3A75">
      <w:pPr>
        <w:spacing w:after="0"/>
        <w:rPr>
          <w:rFonts w:asciiTheme="minorHAnsi" w:eastAsia="Times New Roman" w:hAnsiTheme="minorHAnsi" w:cstheme="minorHAnsi"/>
          <w:sz w:val="24"/>
          <w:szCs w:val="24"/>
          <w:lang w:val="en-US"/>
        </w:rPr>
      </w:pPr>
    </w:p>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A1" w:rsidRDefault="00EB3FA1" w:rsidP="00595E08">
      <w:pPr>
        <w:spacing w:after="0" w:line="240" w:lineRule="auto"/>
      </w:pPr>
      <w:r>
        <w:separator/>
      </w:r>
    </w:p>
  </w:endnote>
  <w:endnote w:type="continuationSeparator" w:id="0">
    <w:p w:rsidR="00EB3FA1" w:rsidRDefault="00EB3FA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A1" w:rsidRDefault="00EB3FA1" w:rsidP="00595E08">
      <w:pPr>
        <w:spacing w:after="0" w:line="240" w:lineRule="auto"/>
      </w:pPr>
      <w:r>
        <w:separator/>
      </w:r>
    </w:p>
  </w:footnote>
  <w:footnote w:type="continuationSeparator" w:id="0">
    <w:p w:rsidR="00EB3FA1" w:rsidRDefault="00EB3FA1"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679B"/>
    <w:rsid w:val="001C723E"/>
    <w:rsid w:val="001D36FE"/>
    <w:rsid w:val="001D5666"/>
    <w:rsid w:val="001D573C"/>
    <w:rsid w:val="001D69A2"/>
    <w:rsid w:val="001D7278"/>
    <w:rsid w:val="001E6EFD"/>
    <w:rsid w:val="001E7475"/>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80BC7"/>
    <w:rsid w:val="00297526"/>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858A1"/>
    <w:rsid w:val="003959C7"/>
    <w:rsid w:val="00397378"/>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4E55"/>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117"/>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56CC"/>
    <w:rsid w:val="00D478DE"/>
    <w:rsid w:val="00D55264"/>
    <w:rsid w:val="00D56480"/>
    <w:rsid w:val="00D66358"/>
    <w:rsid w:val="00D66490"/>
    <w:rsid w:val="00D67D4B"/>
    <w:rsid w:val="00D81CCB"/>
    <w:rsid w:val="00D84A21"/>
    <w:rsid w:val="00D875E6"/>
    <w:rsid w:val="00D94669"/>
    <w:rsid w:val="00DA0CE9"/>
    <w:rsid w:val="00DB0052"/>
    <w:rsid w:val="00DB4748"/>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71DFE"/>
    <w:rsid w:val="00E843E7"/>
    <w:rsid w:val="00E84CDC"/>
    <w:rsid w:val="00EA09AE"/>
    <w:rsid w:val="00EA49B2"/>
    <w:rsid w:val="00EA49C3"/>
    <w:rsid w:val="00EA50F1"/>
    <w:rsid w:val="00EA7106"/>
    <w:rsid w:val="00EA717C"/>
    <w:rsid w:val="00EB343C"/>
    <w:rsid w:val="00EB3FA1"/>
    <w:rsid w:val="00EC1B9D"/>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2B0F"/>
    <w:rsid w:val="00F6437C"/>
    <w:rsid w:val="00F679DE"/>
    <w:rsid w:val="00F83F1A"/>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C2AB"/>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9</cp:revision>
  <cp:lastPrinted>2021-02-17T14:21:00Z</cp:lastPrinted>
  <dcterms:created xsi:type="dcterms:W3CDTF">2021-04-30T11:25:00Z</dcterms:created>
  <dcterms:modified xsi:type="dcterms:W3CDTF">2021-04-30T12:27:00Z</dcterms:modified>
</cp:coreProperties>
</file>