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CC000B">
        <w:rPr>
          <w:rFonts w:ascii="Comic Sans MS" w:hAnsi="Comic Sans MS"/>
          <w:b/>
          <w:i/>
          <w:sz w:val="40"/>
          <w:szCs w:val="40"/>
        </w:rPr>
        <w:t>48</w:t>
      </w:r>
      <w:r w:rsidR="005F4137">
        <w:rPr>
          <w:rFonts w:ascii="Comic Sans MS" w:hAnsi="Comic Sans MS"/>
          <w:b/>
          <w:i/>
          <w:sz w:val="40"/>
          <w:szCs w:val="40"/>
        </w:rPr>
        <w:t>/</w:t>
      </w:r>
      <w:r w:rsidRPr="00490CA8">
        <w:rPr>
          <w:rFonts w:ascii="Comic Sans MS" w:hAnsi="Comic Sans MS"/>
          <w:b/>
          <w:i/>
          <w:sz w:val="40"/>
          <w:szCs w:val="40"/>
        </w:rPr>
        <w:t>19)</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pPr>
        <w:rPr>
          <w:rFonts w:ascii="Comic Sans MS" w:hAnsi="Comic Sans MS"/>
          <w:i/>
          <w:sz w:val="21"/>
          <w:szCs w:val="21"/>
        </w:rPr>
      </w:pPr>
      <w:r>
        <w:rPr>
          <w:rFonts w:ascii="Comic Sans MS" w:hAnsi="Comic Sans MS"/>
          <w:i/>
          <w:sz w:val="21"/>
          <w:szCs w:val="21"/>
        </w:rPr>
        <w:t xml:space="preserve">Justin Chadwick </w:t>
      </w:r>
      <w:r w:rsidR="005F4137">
        <w:rPr>
          <w:rFonts w:ascii="Comic Sans MS" w:hAnsi="Comic Sans MS"/>
          <w:i/>
          <w:sz w:val="21"/>
          <w:szCs w:val="21"/>
        </w:rPr>
        <w:t>2</w:t>
      </w:r>
      <w:r>
        <w:rPr>
          <w:rFonts w:ascii="Comic Sans MS" w:hAnsi="Comic Sans MS"/>
          <w:i/>
          <w:sz w:val="21"/>
          <w:szCs w:val="21"/>
        </w:rPr>
        <w:t>9</w:t>
      </w:r>
      <w:r w:rsidR="000E541C">
        <w:rPr>
          <w:rFonts w:ascii="Comic Sans MS" w:hAnsi="Comic Sans MS"/>
          <w:i/>
          <w:sz w:val="21"/>
          <w:szCs w:val="21"/>
        </w:rPr>
        <w:t xml:space="preserve"> November</w:t>
      </w:r>
      <w:r w:rsidR="00361403">
        <w:rPr>
          <w:rFonts w:ascii="Comic Sans MS" w:hAnsi="Comic Sans MS"/>
          <w:i/>
          <w:sz w:val="21"/>
          <w:szCs w:val="21"/>
        </w:rPr>
        <w:t xml:space="preserve"> </w:t>
      </w:r>
      <w:r w:rsidR="00361403" w:rsidRPr="00EF7AA5">
        <w:rPr>
          <w:rFonts w:ascii="Comic Sans MS" w:hAnsi="Comic Sans MS"/>
          <w:i/>
          <w:sz w:val="21"/>
          <w:szCs w:val="21"/>
        </w:rPr>
        <w:t>2019</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0D76D2" w:rsidTr="00ED209B">
        <w:trPr>
          <w:trHeight w:val="555"/>
          <w:tblCellSpacing w:w="0" w:type="dxa"/>
        </w:trPr>
        <w:tc>
          <w:tcPr>
            <w:tcW w:w="10824" w:type="dxa"/>
            <w:vAlign w:val="center"/>
          </w:tcPr>
          <w:p w:rsidR="00836320" w:rsidRPr="00ED209B" w:rsidRDefault="005F4137" w:rsidP="009206C6">
            <w:pPr>
              <w:ind w:right="-329"/>
              <w:rPr>
                <w:rFonts w:ascii="Arial" w:hAnsi="Arial" w:cs="Arial"/>
                <w:b/>
                <w:i/>
                <w:lang w:val="en-US"/>
              </w:rPr>
            </w:pPr>
            <w:r w:rsidRPr="00897D4D">
              <w:rPr>
                <w:rFonts w:ascii="Arial" w:hAnsi="Arial" w:cs="Arial"/>
                <w:b/>
                <w:i/>
                <w:lang w:val="en-US"/>
              </w:rPr>
              <w:t>“</w:t>
            </w:r>
            <w:r w:rsidR="009206C6">
              <w:rPr>
                <w:rFonts w:ascii="Arial" w:hAnsi="Arial" w:cs="Arial"/>
                <w:b/>
                <w:i/>
                <w:lang w:val="en-US"/>
              </w:rPr>
              <w:t xml:space="preserve">Either you run the day, or the day runs you.”- Jim </w:t>
            </w:r>
            <w:proofErr w:type="spellStart"/>
            <w:r w:rsidR="009206C6">
              <w:rPr>
                <w:rFonts w:ascii="Arial" w:hAnsi="Arial" w:cs="Arial"/>
                <w:b/>
                <w:i/>
                <w:lang w:val="en-US"/>
              </w:rPr>
              <w:t>Rohn</w:t>
            </w:r>
            <w:proofErr w:type="spellEnd"/>
          </w:p>
        </w:tc>
      </w:tr>
    </w:tbl>
    <w:p w:rsidR="005F4137" w:rsidRPr="00502EEB" w:rsidRDefault="00CC000B" w:rsidP="005F4137">
      <w:pPr>
        <w:spacing w:after="0" w:line="240" w:lineRule="auto"/>
        <w:rPr>
          <w:rFonts w:eastAsia="Times New Roman" w:cs="Calibri"/>
          <w:b/>
          <w:color w:val="C00000"/>
          <w:sz w:val="24"/>
          <w:szCs w:val="24"/>
          <w:u w:val="single"/>
          <w:lang w:val="en-US"/>
        </w:rPr>
      </w:pPr>
      <w:r w:rsidRPr="00502EEB">
        <w:rPr>
          <w:rFonts w:eastAsia="Times New Roman" w:cs="Calibri"/>
          <w:b/>
          <w:color w:val="C00000"/>
          <w:sz w:val="24"/>
          <w:szCs w:val="24"/>
          <w:u w:val="single"/>
          <w:lang w:val="en-US"/>
        </w:rPr>
        <w:t xml:space="preserve">2019 VALENCIA </w:t>
      </w:r>
      <w:r w:rsidR="005F4137" w:rsidRPr="00502EEB">
        <w:rPr>
          <w:rFonts w:eastAsia="Times New Roman" w:cs="Calibri"/>
          <w:b/>
          <w:color w:val="C00000"/>
          <w:sz w:val="24"/>
          <w:szCs w:val="24"/>
          <w:u w:val="single"/>
          <w:lang w:val="en-US"/>
        </w:rPr>
        <w:t xml:space="preserve">SEASONAL REVIEW (Prepared by Portia Magwaza; CGA Research Economist)  </w:t>
      </w:r>
    </w:p>
    <w:p w:rsidR="009206C6" w:rsidRPr="00502EEB" w:rsidRDefault="00267052" w:rsidP="00C2737B">
      <w:pPr>
        <w:spacing w:after="0" w:line="240" w:lineRule="auto"/>
        <w:jc w:val="both"/>
        <w:rPr>
          <w:bCs/>
          <w:sz w:val="24"/>
          <w:szCs w:val="24"/>
        </w:rPr>
      </w:pPr>
      <w:r w:rsidRPr="00502EEB">
        <w:rPr>
          <w:noProof/>
          <w:sz w:val="24"/>
          <w:szCs w:val="24"/>
          <w:lang w:eastAsia="en-ZA"/>
        </w:rPr>
        <w:drawing>
          <wp:anchor distT="0" distB="0" distL="114300" distR="114300" simplePos="0" relativeHeight="251660288" behindDoc="1" locked="0" layoutInCell="1" allowOverlap="1" wp14:anchorId="7912FC0C" wp14:editId="685C4740">
            <wp:simplePos x="0" y="0"/>
            <wp:positionH relativeFrom="column">
              <wp:posOffset>0</wp:posOffset>
            </wp:positionH>
            <wp:positionV relativeFrom="paragraph">
              <wp:posOffset>82550</wp:posOffset>
            </wp:positionV>
            <wp:extent cx="3924935" cy="2820670"/>
            <wp:effectExtent l="0" t="0" r="18415" b="17780"/>
            <wp:wrapTight wrapText="bothSides">
              <wp:wrapPolygon edited="0">
                <wp:start x="0" y="0"/>
                <wp:lineTo x="0" y="21590"/>
                <wp:lineTo x="21597" y="21590"/>
                <wp:lineTo x="21597"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r w:rsidR="00136127" w:rsidRPr="00502EEB">
        <w:rPr>
          <w:bCs/>
          <w:sz w:val="24"/>
          <w:szCs w:val="24"/>
        </w:rPr>
        <w:t xml:space="preserve">Initial estimates put the </w:t>
      </w:r>
      <w:proofErr w:type="spellStart"/>
      <w:r w:rsidR="00136127" w:rsidRPr="00502EEB">
        <w:rPr>
          <w:bCs/>
          <w:sz w:val="24"/>
          <w:szCs w:val="24"/>
        </w:rPr>
        <w:t>valencia</w:t>
      </w:r>
      <w:proofErr w:type="spellEnd"/>
      <w:r w:rsidR="00136127" w:rsidRPr="00502EEB">
        <w:rPr>
          <w:bCs/>
          <w:sz w:val="24"/>
          <w:szCs w:val="24"/>
        </w:rPr>
        <w:t xml:space="preserve"> packed for export figure at 46.8 million cartons- well below 2018 (54 m) and 2017 (53.9 m) levels. This was due to unmarketable sizes – big sizes and small.</w:t>
      </w:r>
    </w:p>
    <w:p w:rsidR="005F4137" w:rsidRPr="00502EEB" w:rsidRDefault="00136127" w:rsidP="00C2737B">
      <w:pPr>
        <w:spacing w:after="0" w:line="240" w:lineRule="auto"/>
        <w:jc w:val="both"/>
        <w:rPr>
          <w:bCs/>
          <w:sz w:val="24"/>
          <w:szCs w:val="24"/>
        </w:rPr>
      </w:pPr>
      <w:r w:rsidRPr="00502EEB">
        <w:rPr>
          <w:bCs/>
          <w:sz w:val="24"/>
          <w:szCs w:val="24"/>
        </w:rPr>
        <w:t xml:space="preserve">Estimating the 2019 </w:t>
      </w:r>
      <w:proofErr w:type="spellStart"/>
      <w:r w:rsidRPr="00502EEB">
        <w:rPr>
          <w:bCs/>
          <w:sz w:val="24"/>
          <w:szCs w:val="24"/>
        </w:rPr>
        <w:t>valencia</w:t>
      </w:r>
      <w:proofErr w:type="spellEnd"/>
      <w:r w:rsidRPr="00502EEB">
        <w:rPr>
          <w:bCs/>
          <w:sz w:val="24"/>
          <w:szCs w:val="24"/>
        </w:rPr>
        <w:t xml:space="preserve"> crop proved to be challenging for many of the Valencia Focus Group members. The initial estimate was 52.9 million cartons- the final tally being almost 12% under the estimate.</w:t>
      </w:r>
    </w:p>
    <w:p w:rsidR="00185357" w:rsidRPr="00502EEB" w:rsidRDefault="00185357" w:rsidP="00C2737B">
      <w:pPr>
        <w:spacing w:after="0" w:line="240" w:lineRule="auto"/>
        <w:jc w:val="both"/>
        <w:rPr>
          <w:bCs/>
          <w:sz w:val="24"/>
          <w:szCs w:val="24"/>
        </w:rPr>
      </w:pPr>
      <w:r w:rsidRPr="00502EEB">
        <w:rPr>
          <w:bCs/>
          <w:sz w:val="24"/>
          <w:szCs w:val="24"/>
        </w:rPr>
        <w:t xml:space="preserve">The biggest region (Letsitele) at 12.2 million cartons was 17% under the estimate; Sundays River Valley at 6.1 million cartons was 1% over the estimate; while </w:t>
      </w:r>
      <w:proofErr w:type="spellStart"/>
      <w:r w:rsidRPr="00502EEB">
        <w:rPr>
          <w:bCs/>
          <w:sz w:val="24"/>
          <w:szCs w:val="24"/>
        </w:rPr>
        <w:t>Senwes</w:t>
      </w:r>
      <w:proofErr w:type="spellEnd"/>
      <w:r w:rsidRPr="00502EEB">
        <w:rPr>
          <w:bCs/>
          <w:sz w:val="24"/>
          <w:szCs w:val="24"/>
        </w:rPr>
        <w:t xml:space="preserve"> at 5.2 million was 24% under the estimate. Hoedspruit with 4.8 m cartons was 15% </w:t>
      </w:r>
      <w:r w:rsidR="00A96822" w:rsidRPr="00502EEB">
        <w:rPr>
          <w:bCs/>
          <w:sz w:val="24"/>
          <w:szCs w:val="24"/>
        </w:rPr>
        <w:t>under the estimate and</w:t>
      </w:r>
      <w:r w:rsidRPr="00502EEB">
        <w:rPr>
          <w:bCs/>
          <w:sz w:val="24"/>
          <w:szCs w:val="24"/>
        </w:rPr>
        <w:t xml:space="preserve"> Limpopo River (</w:t>
      </w:r>
      <w:r w:rsidR="00A96822" w:rsidRPr="00502EEB">
        <w:rPr>
          <w:bCs/>
          <w:sz w:val="24"/>
          <w:szCs w:val="24"/>
        </w:rPr>
        <w:t>4.6 m) was 14% less than the estimate.</w:t>
      </w:r>
    </w:p>
    <w:p w:rsidR="00A96822" w:rsidRPr="00502EEB" w:rsidRDefault="00A96822" w:rsidP="00C2737B">
      <w:pPr>
        <w:spacing w:after="0" w:line="240" w:lineRule="auto"/>
        <w:jc w:val="both"/>
        <w:rPr>
          <w:bCs/>
          <w:sz w:val="24"/>
          <w:szCs w:val="24"/>
        </w:rPr>
      </w:pPr>
      <w:r w:rsidRPr="00502EEB">
        <w:rPr>
          <w:bCs/>
          <w:sz w:val="24"/>
          <w:szCs w:val="24"/>
        </w:rPr>
        <w:t>As with grapefruit, lemons and navels, Netherlands remains the number one importer at 157 000 tonnes. They were followed by China (65 000 tonnes), Russia (45 000 tonnes), UAE (42 000 tonnes) and UK (39 000) rounding the top five importing countries.</w:t>
      </w:r>
    </w:p>
    <w:p w:rsidR="00496A4F" w:rsidRPr="00502EEB" w:rsidRDefault="00502EEB" w:rsidP="005F4137">
      <w:pPr>
        <w:spacing w:after="0" w:line="240" w:lineRule="auto"/>
        <w:jc w:val="both"/>
        <w:rPr>
          <w:bCs/>
          <w:sz w:val="24"/>
          <w:szCs w:val="24"/>
        </w:rPr>
      </w:pPr>
      <w:r w:rsidRPr="00502EEB">
        <w:rPr>
          <w:bCs/>
          <w:noProof/>
          <w:sz w:val="24"/>
          <w:szCs w:val="24"/>
          <w:lang w:eastAsia="en-ZA"/>
        </w:rPr>
        <mc:AlternateContent>
          <mc:Choice Requires="wps">
            <w:drawing>
              <wp:anchor distT="45720" distB="45720" distL="114300" distR="114300" simplePos="0" relativeHeight="251662336" behindDoc="0" locked="0" layoutInCell="1" allowOverlap="1" wp14:anchorId="23E1B19A" wp14:editId="246715D9">
                <wp:simplePos x="0" y="0"/>
                <wp:positionH relativeFrom="column">
                  <wp:posOffset>4134485</wp:posOffset>
                </wp:positionH>
                <wp:positionV relativeFrom="paragraph">
                  <wp:posOffset>1270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52FAF" w:rsidRDefault="00352FAF" w:rsidP="00352FAF">
                            <w:pPr>
                              <w:spacing w:after="0"/>
                            </w:pPr>
                            <w:r>
                              <w:t>SHAFFE (Southern Hemisphere Association of Fresh Fruit Exporters) figures do not differentiate between different orange types. South Africa dominates the southern hemisphere orange category. The only meaningful competition is in the USA (where Chile dominates) and Japan (led by Australia).</w:t>
                            </w:r>
                          </w:p>
                          <w:p w:rsidR="00352FAF" w:rsidRDefault="00352FAF" w:rsidP="00352FAF">
                            <w:pPr>
                              <w:spacing w:after="0"/>
                            </w:pPr>
                            <w:r>
                              <w:t>Northern Europe remains the leading importer of southern hemisphere oranges, followed by Middle East and South East Asia.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E1B19A" id="_x0000_t202" coordsize="21600,21600" o:spt="202" path="m,l,21600r21600,l21600,xe">
                <v:stroke joinstyle="miter"/>
                <v:path gradientshapeok="t" o:connecttype="rect"/>
              </v:shapetype>
              <v:shape id="Text Box 2" o:spid="_x0000_s1026" type="#_x0000_t202" style="position:absolute;left:0;text-align:left;margin-left:325.55pt;margin-top:.1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">
                <v:textbox style="mso-fit-shape-to-text:t">
                  <w:txbxContent>
                    <w:p w:rsidR="00352FAF" w:rsidRDefault="00352FAF" w:rsidP="00352FAF">
                      <w:pPr>
                        <w:spacing w:after="0"/>
                      </w:pPr>
                      <w:r>
                        <w:t>SHAFFE (Southern Hemisphere Association of Fresh Fruit Exporters) figures do not differentiate between different orange types. South Africa dominates the southern hemisphere orange category. The only meaningful competition is in the USA (where Chile dominates) and Japan (led by Australia).</w:t>
                      </w:r>
                    </w:p>
                    <w:p w:rsidR="00352FAF" w:rsidRDefault="00352FAF" w:rsidP="00352FAF">
                      <w:pPr>
                        <w:spacing w:after="0"/>
                      </w:pPr>
                      <w:r>
                        <w:t>Northern Europe remains the leading importer of southern hemisphere oranges, followed by Middle East and South East Asia.</w:t>
                      </w:r>
                    </w:p>
                  </w:txbxContent>
                </v:textbox>
                <w10:wrap type="square"/>
              </v:shape>
            </w:pict>
          </mc:Fallback>
        </mc:AlternateContent>
      </w:r>
      <w:r w:rsidR="005330E2" w:rsidRPr="00502EEB">
        <w:rPr>
          <w:rFonts w:cs="Calibri"/>
          <w:noProof/>
          <w:color w:val="1F497D"/>
          <w:sz w:val="24"/>
          <w:szCs w:val="24"/>
          <w:lang w:eastAsia="en-ZA"/>
        </w:rPr>
        <w:drawing>
          <wp:inline distT="0" distB="0" distL="0" distR="0">
            <wp:extent cx="3944176" cy="2486722"/>
            <wp:effectExtent l="0" t="0" r="0" b="8890"/>
            <wp:docPr id="2" name="Picture 2" descr="cid:image003.png@01D5A07A.53390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A07A.53390E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63212" cy="2498724"/>
                    </a:xfrm>
                    <a:prstGeom prst="rect">
                      <a:avLst/>
                    </a:prstGeom>
                    <a:noFill/>
                    <a:ln>
                      <a:noFill/>
                    </a:ln>
                  </pic:spPr>
                </pic:pic>
              </a:graphicData>
            </a:graphic>
          </wp:inline>
        </w:drawing>
      </w:r>
    </w:p>
    <w:p w:rsidR="00FA06B9" w:rsidRDefault="00FA06B9" w:rsidP="005F4137">
      <w:pPr>
        <w:spacing w:after="0" w:line="240" w:lineRule="auto"/>
        <w:jc w:val="both"/>
        <w:rPr>
          <w:bCs/>
        </w:rPr>
      </w:pPr>
    </w:p>
    <w:p w:rsidR="005F4137" w:rsidRDefault="005F4137" w:rsidP="005F4137">
      <w:pPr>
        <w:spacing w:after="0" w:line="240" w:lineRule="auto"/>
        <w:jc w:val="both"/>
        <w:rPr>
          <w:bCs/>
        </w:rPr>
      </w:pPr>
    </w:p>
    <w:p w:rsidR="008B7F6E" w:rsidRPr="002139DB" w:rsidRDefault="002139DB" w:rsidP="002139DB">
      <w:pPr>
        <w:spacing w:after="0"/>
        <w:rPr>
          <w:color w:val="C00000"/>
          <w:sz w:val="24"/>
          <w:szCs w:val="24"/>
        </w:rPr>
      </w:pPr>
      <w:r>
        <w:rPr>
          <w:b/>
          <w:color w:val="C00000"/>
          <w:sz w:val="24"/>
          <w:szCs w:val="24"/>
          <w:u w:val="single"/>
        </w:rPr>
        <w:t>DATES FOR 2020</w:t>
      </w:r>
    </w:p>
    <w:p w:rsidR="002139DB" w:rsidRPr="002139DB" w:rsidRDefault="002139DB" w:rsidP="007830CC">
      <w:pPr>
        <w:rPr>
          <w:sz w:val="24"/>
          <w:szCs w:val="24"/>
        </w:rPr>
      </w:pPr>
      <w:r>
        <w:rPr>
          <w:sz w:val="24"/>
          <w:szCs w:val="24"/>
        </w:rPr>
        <w:t xml:space="preserve">Diaries are already out for 2020 – later newsletters will have more details, but please take note of the following: CRI Post Harvest </w:t>
      </w:r>
      <w:r w:rsidR="007264AE">
        <w:rPr>
          <w:sz w:val="24"/>
          <w:szCs w:val="24"/>
        </w:rPr>
        <w:t>Workshop</w:t>
      </w:r>
      <w:r w:rsidR="007C5290">
        <w:rPr>
          <w:sz w:val="24"/>
          <w:szCs w:val="24"/>
        </w:rPr>
        <w:t xml:space="preserve">s 28-31 January, 3-7 and 11-14 </w:t>
      </w:r>
      <w:bookmarkStart w:id="0" w:name="_GoBack"/>
      <w:bookmarkEnd w:id="0"/>
      <w:r w:rsidR="007264AE">
        <w:rPr>
          <w:sz w:val="24"/>
          <w:szCs w:val="24"/>
        </w:rPr>
        <w:t xml:space="preserve">February; </w:t>
      </w:r>
      <w:r>
        <w:rPr>
          <w:sz w:val="24"/>
          <w:szCs w:val="24"/>
        </w:rPr>
        <w:t xml:space="preserve">CGA Grower Roadshows 10-14 and 17-21 February; </w:t>
      </w:r>
      <w:proofErr w:type="spellStart"/>
      <w:r>
        <w:rPr>
          <w:sz w:val="24"/>
          <w:szCs w:val="24"/>
        </w:rPr>
        <w:t>AgBIZ</w:t>
      </w:r>
      <w:proofErr w:type="spellEnd"/>
      <w:r>
        <w:rPr>
          <w:sz w:val="24"/>
          <w:szCs w:val="24"/>
        </w:rPr>
        <w:t xml:space="preserve"> Congress 15-17 July; CRI Research Symposium 24-28 August.</w:t>
      </w:r>
    </w:p>
    <w:sectPr w:rsidR="002139DB" w:rsidRPr="002139DB"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82" w:rsidRDefault="00B26A82" w:rsidP="00595E08">
      <w:pPr>
        <w:spacing w:after="0" w:line="240" w:lineRule="auto"/>
      </w:pPr>
      <w:r>
        <w:separator/>
      </w:r>
    </w:p>
  </w:endnote>
  <w:endnote w:type="continuationSeparator" w:id="0">
    <w:p w:rsidR="00B26A82" w:rsidRDefault="00B26A82"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69" w:rsidRPr="00EF7AA5" w:rsidRDefault="00756469" w:rsidP="00756469">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756469" w:rsidRPr="00EF7AA5" w:rsidRDefault="00756469" w:rsidP="00756469">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756469" w:rsidRDefault="00756469" w:rsidP="00756469">
    <w:pPr>
      <w:pStyle w:val="Footer"/>
      <w:jc w:val="center"/>
    </w:pPr>
    <w:r w:rsidRPr="00EF7AA5">
      <w:rPr>
        <w:rFonts w:ascii="Arial" w:hAnsi="Arial" w:cs="Arial"/>
        <w:b/>
        <w:color w:val="00B050"/>
        <w:sz w:val="21"/>
        <w:szCs w:val="21"/>
      </w:rPr>
      <w:t>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82" w:rsidRDefault="00B26A82" w:rsidP="00595E08">
      <w:pPr>
        <w:spacing w:after="0" w:line="240" w:lineRule="auto"/>
      </w:pPr>
      <w:r>
        <w:separator/>
      </w:r>
    </w:p>
  </w:footnote>
  <w:footnote w:type="continuationSeparator" w:id="0">
    <w:p w:rsidR="00B26A82" w:rsidRDefault="00B26A82"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A39E7"/>
    <w:rsid w:val="000D7425"/>
    <w:rsid w:val="000E541C"/>
    <w:rsid w:val="000F5B14"/>
    <w:rsid w:val="00110F70"/>
    <w:rsid w:val="001218D8"/>
    <w:rsid w:val="00122FC7"/>
    <w:rsid w:val="00136127"/>
    <w:rsid w:val="00174465"/>
    <w:rsid w:val="00175734"/>
    <w:rsid w:val="001757E7"/>
    <w:rsid w:val="00185357"/>
    <w:rsid w:val="001A29BD"/>
    <w:rsid w:val="001B203D"/>
    <w:rsid w:val="001C679B"/>
    <w:rsid w:val="001D573C"/>
    <w:rsid w:val="001D69A2"/>
    <w:rsid w:val="0020144B"/>
    <w:rsid w:val="002139DB"/>
    <w:rsid w:val="002176D6"/>
    <w:rsid w:val="00225418"/>
    <w:rsid w:val="00230CA5"/>
    <w:rsid w:val="0023735C"/>
    <w:rsid w:val="002512C0"/>
    <w:rsid w:val="00267052"/>
    <w:rsid w:val="00297526"/>
    <w:rsid w:val="002A3E51"/>
    <w:rsid w:val="002D122B"/>
    <w:rsid w:val="0030169A"/>
    <w:rsid w:val="00313CB1"/>
    <w:rsid w:val="00352FAF"/>
    <w:rsid w:val="00361403"/>
    <w:rsid w:val="003959C7"/>
    <w:rsid w:val="003C27D4"/>
    <w:rsid w:val="003D70AB"/>
    <w:rsid w:val="003F0C6F"/>
    <w:rsid w:val="003F2574"/>
    <w:rsid w:val="003F6E31"/>
    <w:rsid w:val="003F7804"/>
    <w:rsid w:val="00455927"/>
    <w:rsid w:val="004645E1"/>
    <w:rsid w:val="00495189"/>
    <w:rsid w:val="00496A4F"/>
    <w:rsid w:val="004C529E"/>
    <w:rsid w:val="004E0F63"/>
    <w:rsid w:val="00502EEB"/>
    <w:rsid w:val="0050561C"/>
    <w:rsid w:val="005330E2"/>
    <w:rsid w:val="00541EB1"/>
    <w:rsid w:val="00562B1F"/>
    <w:rsid w:val="005822CF"/>
    <w:rsid w:val="005859D8"/>
    <w:rsid w:val="00595E08"/>
    <w:rsid w:val="005B6970"/>
    <w:rsid w:val="005B7B5D"/>
    <w:rsid w:val="005E05EF"/>
    <w:rsid w:val="005F2989"/>
    <w:rsid w:val="005F4137"/>
    <w:rsid w:val="00600B79"/>
    <w:rsid w:val="006042E1"/>
    <w:rsid w:val="00611C22"/>
    <w:rsid w:val="00612231"/>
    <w:rsid w:val="006254FA"/>
    <w:rsid w:val="006302CB"/>
    <w:rsid w:val="0063644A"/>
    <w:rsid w:val="006412FF"/>
    <w:rsid w:val="0067189B"/>
    <w:rsid w:val="006852F9"/>
    <w:rsid w:val="00690E5D"/>
    <w:rsid w:val="0069320C"/>
    <w:rsid w:val="0069350E"/>
    <w:rsid w:val="006A0B6E"/>
    <w:rsid w:val="006E0A15"/>
    <w:rsid w:val="006E394D"/>
    <w:rsid w:val="007264AE"/>
    <w:rsid w:val="00732CB3"/>
    <w:rsid w:val="00756469"/>
    <w:rsid w:val="00756592"/>
    <w:rsid w:val="00757321"/>
    <w:rsid w:val="00761318"/>
    <w:rsid w:val="007666C5"/>
    <w:rsid w:val="007830CC"/>
    <w:rsid w:val="007958FA"/>
    <w:rsid w:val="007A6F34"/>
    <w:rsid w:val="007C5290"/>
    <w:rsid w:val="007D4D85"/>
    <w:rsid w:val="007E360C"/>
    <w:rsid w:val="007E6B47"/>
    <w:rsid w:val="0081352C"/>
    <w:rsid w:val="00836320"/>
    <w:rsid w:val="0085133F"/>
    <w:rsid w:val="00852AAD"/>
    <w:rsid w:val="0087221E"/>
    <w:rsid w:val="008755FB"/>
    <w:rsid w:val="008756F8"/>
    <w:rsid w:val="008A23F8"/>
    <w:rsid w:val="008A3110"/>
    <w:rsid w:val="008B1479"/>
    <w:rsid w:val="008B5FDB"/>
    <w:rsid w:val="008B7F6E"/>
    <w:rsid w:val="00912266"/>
    <w:rsid w:val="009206C6"/>
    <w:rsid w:val="00940202"/>
    <w:rsid w:val="00947800"/>
    <w:rsid w:val="00953EE0"/>
    <w:rsid w:val="00954793"/>
    <w:rsid w:val="00954DBD"/>
    <w:rsid w:val="00955884"/>
    <w:rsid w:val="0097764C"/>
    <w:rsid w:val="009A1B72"/>
    <w:rsid w:val="009D0040"/>
    <w:rsid w:val="009D709A"/>
    <w:rsid w:val="00A20F03"/>
    <w:rsid w:val="00A31AD6"/>
    <w:rsid w:val="00A320B1"/>
    <w:rsid w:val="00A40974"/>
    <w:rsid w:val="00A54595"/>
    <w:rsid w:val="00A837EA"/>
    <w:rsid w:val="00A96822"/>
    <w:rsid w:val="00AA51FF"/>
    <w:rsid w:val="00AB5EC1"/>
    <w:rsid w:val="00AC7D19"/>
    <w:rsid w:val="00B0109A"/>
    <w:rsid w:val="00B04E97"/>
    <w:rsid w:val="00B06DA7"/>
    <w:rsid w:val="00B26A82"/>
    <w:rsid w:val="00B3410E"/>
    <w:rsid w:val="00B65EBE"/>
    <w:rsid w:val="00B673C4"/>
    <w:rsid w:val="00B84D8D"/>
    <w:rsid w:val="00BA3973"/>
    <w:rsid w:val="00BB0DE8"/>
    <w:rsid w:val="00BB2034"/>
    <w:rsid w:val="00BB4B0B"/>
    <w:rsid w:val="00BC0F93"/>
    <w:rsid w:val="00BE1805"/>
    <w:rsid w:val="00BF0FF8"/>
    <w:rsid w:val="00BF1983"/>
    <w:rsid w:val="00C02E4C"/>
    <w:rsid w:val="00C2737B"/>
    <w:rsid w:val="00C35B43"/>
    <w:rsid w:val="00C41489"/>
    <w:rsid w:val="00C510B2"/>
    <w:rsid w:val="00C51114"/>
    <w:rsid w:val="00CB303A"/>
    <w:rsid w:val="00CC000B"/>
    <w:rsid w:val="00CF5E26"/>
    <w:rsid w:val="00D0558A"/>
    <w:rsid w:val="00D2092A"/>
    <w:rsid w:val="00D219B0"/>
    <w:rsid w:val="00D278A3"/>
    <w:rsid w:val="00D67D4B"/>
    <w:rsid w:val="00D84A21"/>
    <w:rsid w:val="00D94669"/>
    <w:rsid w:val="00DA0CE9"/>
    <w:rsid w:val="00DC4F50"/>
    <w:rsid w:val="00DD3275"/>
    <w:rsid w:val="00DE100B"/>
    <w:rsid w:val="00E017AC"/>
    <w:rsid w:val="00E0676F"/>
    <w:rsid w:val="00E14724"/>
    <w:rsid w:val="00E31082"/>
    <w:rsid w:val="00E3323F"/>
    <w:rsid w:val="00E40090"/>
    <w:rsid w:val="00E43E76"/>
    <w:rsid w:val="00EA7106"/>
    <w:rsid w:val="00EA717C"/>
    <w:rsid w:val="00ED209B"/>
    <w:rsid w:val="00EE395A"/>
    <w:rsid w:val="00F208EC"/>
    <w:rsid w:val="00F26119"/>
    <w:rsid w:val="00F34519"/>
    <w:rsid w:val="00F40554"/>
    <w:rsid w:val="00F679DE"/>
    <w:rsid w:val="00F867C4"/>
    <w:rsid w:val="00FA06B9"/>
    <w:rsid w:val="00FA6F1F"/>
    <w:rsid w:val="00FE75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53B7"/>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cid:image003.png@01D5A07A.53390E0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ortia\Google%20Drive\Documents\2019%20Season%20Summaries\1_Portia\Focus%20Groups\Soft%20Citrus%20FG_2019\Valencia%20Work%20book.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Southern African Valencia Exports 15kg Cartons</a:t>
            </a:r>
          </a:p>
        </c:rich>
      </c:tx>
      <c:layout>
        <c:manualLayout>
          <c:xMode val="edge"/>
          <c:yMode val="edge"/>
          <c:x val="0.13530313240856218"/>
          <c:y val="3.04975532772248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386748323126276"/>
          <c:y val="0.2212540830515308"/>
          <c:w val="0.88150573125817866"/>
          <c:h val="0.64987319139051924"/>
        </c:manualLayout>
      </c:layout>
      <c:barChart>
        <c:barDir val="col"/>
        <c:grouping val="clustered"/>
        <c:varyColors val="0"/>
        <c:ser>
          <c:idx val="0"/>
          <c:order val="0"/>
          <c:tx>
            <c:strRef>
              <c:f>'C:\Users\Portia\Google Drive\Documents\2019 Season Summaries\1_Portia\[2019 Citrus data and graphs.xlsx]Valencia'!$W$18:$W$20</c:f>
              <c:strCache>
                <c:ptCount val="1"/>
              </c:strCache>
            </c:strRef>
          </c:tx>
          <c:spPr>
            <a:solidFill>
              <a:srgbClr val="FFFF00"/>
            </a:solidFill>
            <a:ln>
              <a:noFill/>
            </a:ln>
            <a:effectLst/>
          </c:spPr>
          <c:invertIfNegative val="0"/>
          <c:dPt>
            <c:idx val="7"/>
            <c:invertIfNegative val="0"/>
            <c:bubble3D val="0"/>
            <c:extLst>
              <c:ext xmlns:c16="http://schemas.microsoft.com/office/drawing/2014/chart" uri="{C3380CC4-5D6E-409C-BE32-E72D297353CC}">
                <c16:uniqueId val="{00000000-27D5-499E-9ED3-AD222CC63A9E}"/>
              </c:ext>
            </c:extLst>
          </c:dPt>
          <c:dPt>
            <c:idx val="8"/>
            <c:invertIfNegative val="0"/>
            <c:bubble3D val="0"/>
            <c:extLst>
              <c:ext xmlns:c16="http://schemas.microsoft.com/office/drawing/2014/chart" uri="{C3380CC4-5D6E-409C-BE32-E72D297353CC}">
                <c16:uniqueId val="{00000001-27D5-499E-9ED3-AD222CC63A9E}"/>
              </c:ext>
            </c:extLst>
          </c:dPt>
          <c:dPt>
            <c:idx val="9"/>
            <c:invertIfNegative val="0"/>
            <c:bubble3D val="0"/>
            <c:spPr>
              <a:pattFill prst="dkUpDiag">
                <a:fgClr>
                  <a:srgbClr val="FF0000"/>
                </a:fgClr>
                <a:bgClr>
                  <a:schemeClr val="bg1"/>
                </a:bgClr>
              </a:pattFill>
              <a:ln>
                <a:noFill/>
              </a:ln>
              <a:effectLst/>
            </c:spPr>
            <c:extLst>
              <c:ext xmlns:c16="http://schemas.microsoft.com/office/drawing/2014/chart" uri="{C3380CC4-5D6E-409C-BE32-E72D297353CC}">
                <c16:uniqueId val="{00000003-27D5-499E-9ED3-AD222CC63A9E}"/>
              </c:ext>
            </c:extLst>
          </c:dPt>
          <c:dPt>
            <c:idx val="10"/>
            <c:invertIfNegative val="0"/>
            <c:bubble3D val="0"/>
            <c:spPr>
              <a:solidFill>
                <a:srgbClr val="FFFF00"/>
              </a:solidFill>
              <a:ln>
                <a:noFill/>
              </a:ln>
              <a:effectLst/>
            </c:spPr>
            <c:extLst>
              <c:ext xmlns:c16="http://schemas.microsoft.com/office/drawing/2014/chart" uri="{C3380CC4-5D6E-409C-BE32-E72D297353CC}">
                <c16:uniqueId val="{00000005-27D5-499E-9ED3-AD222CC63A9E}"/>
              </c:ext>
            </c:extLst>
          </c:dPt>
          <c:dPt>
            <c:idx val="11"/>
            <c:invertIfNegative val="0"/>
            <c:bubble3D val="0"/>
            <c:spPr>
              <a:solidFill>
                <a:srgbClr val="FFFF00"/>
              </a:solidFill>
              <a:ln>
                <a:noFill/>
              </a:ln>
              <a:effectLst/>
            </c:spPr>
            <c:extLst>
              <c:ext xmlns:c16="http://schemas.microsoft.com/office/drawing/2014/chart" uri="{C3380CC4-5D6E-409C-BE32-E72D297353CC}">
                <c16:uniqueId val="{00000007-27D5-499E-9ED3-AD222CC63A9E}"/>
              </c:ext>
            </c:extLst>
          </c:dPt>
          <c:dPt>
            <c:idx val="12"/>
            <c:invertIfNegative val="0"/>
            <c:bubble3D val="0"/>
            <c:spPr>
              <a:solidFill>
                <a:srgbClr val="FFFF00"/>
              </a:solidFill>
              <a:ln>
                <a:noFill/>
              </a:ln>
              <a:effectLst/>
            </c:spPr>
            <c:extLst>
              <c:ext xmlns:c16="http://schemas.microsoft.com/office/drawing/2014/chart" uri="{C3380CC4-5D6E-409C-BE32-E72D297353CC}">
                <c16:uniqueId val="{00000009-27D5-499E-9ED3-AD222CC63A9E}"/>
              </c:ext>
            </c:extLst>
          </c:dPt>
          <c:dLbls>
            <c:delete val="1"/>
          </c:dLbls>
          <c:cat>
            <c:strRef>
              <c:f>[1]Valencia!$A$26:$A$36</c:f>
              <c:strCache>
                <c:ptCount val="10"/>
                <c:pt idx="0">
                  <c:v>2010</c:v>
                </c:pt>
                <c:pt idx="1">
                  <c:v>2011</c:v>
                </c:pt>
                <c:pt idx="2">
                  <c:v>2012</c:v>
                </c:pt>
                <c:pt idx="3">
                  <c:v>2013</c:v>
                </c:pt>
                <c:pt idx="4">
                  <c:v>2014</c:v>
                </c:pt>
                <c:pt idx="5">
                  <c:v>2015</c:v>
                </c:pt>
                <c:pt idx="6">
                  <c:v>2016</c:v>
                </c:pt>
                <c:pt idx="7">
                  <c:v>2017</c:v>
                </c:pt>
                <c:pt idx="8">
                  <c:v>2018</c:v>
                </c:pt>
                <c:pt idx="9">
                  <c:v>2019</c:v>
                </c:pt>
              </c:strCache>
              <c:extLst/>
            </c:strRef>
          </c:cat>
          <c:val>
            <c:numRef>
              <c:f>[1]Valencia!$E$26:$E$36</c:f>
              <c:numCache>
                <c:formatCode>General</c:formatCode>
                <c:ptCount val="10"/>
                <c:pt idx="0">
                  <c:v>48339756.350003362</c:v>
                </c:pt>
                <c:pt idx="1">
                  <c:v>44169934.580000006</c:v>
                </c:pt>
                <c:pt idx="2">
                  <c:v>47289860</c:v>
                </c:pt>
                <c:pt idx="3">
                  <c:v>51407688</c:v>
                </c:pt>
                <c:pt idx="4">
                  <c:v>50865046</c:v>
                </c:pt>
                <c:pt idx="5">
                  <c:v>52707174</c:v>
                </c:pt>
                <c:pt idx="6">
                  <c:v>42066556</c:v>
                </c:pt>
                <c:pt idx="7">
                  <c:v>53951680</c:v>
                </c:pt>
                <c:pt idx="8">
                  <c:v>54417509</c:v>
                </c:pt>
                <c:pt idx="9">
                  <c:v>46886000</c:v>
                </c:pt>
              </c:numCache>
              <c:extLst/>
            </c:numRef>
          </c:val>
          <c:extLst>
            <c:ext xmlns:c16="http://schemas.microsoft.com/office/drawing/2014/chart" uri="{C3380CC4-5D6E-409C-BE32-E72D297353CC}">
              <c16:uniqueId val="{0000000A-27D5-499E-9ED3-AD222CC63A9E}"/>
            </c:ext>
          </c:extLst>
        </c:ser>
        <c:dLbls>
          <c:dLblPos val="outEnd"/>
          <c:showLegendKey val="0"/>
          <c:showVal val="1"/>
          <c:showCatName val="0"/>
          <c:showSerName val="0"/>
          <c:showPercent val="0"/>
          <c:showBubbleSize val="0"/>
        </c:dLbls>
        <c:gapWidth val="219"/>
        <c:overlap val="-27"/>
        <c:axId val="554732592"/>
        <c:axId val="554740040"/>
      </c:barChart>
      <c:catAx>
        <c:axId val="55473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740040"/>
        <c:crosses val="autoZero"/>
        <c:auto val="1"/>
        <c:lblAlgn val="ctr"/>
        <c:lblOffset val="100"/>
        <c:noMultiLvlLbl val="0"/>
      </c:catAx>
      <c:valAx>
        <c:axId val="554740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732592"/>
        <c:crosses val="autoZero"/>
        <c:crossBetween val="between"/>
        <c:dispUnits>
          <c:builtInUnit val="million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0.01098</cdr:x>
      <cdr:y>0.31377</cdr:y>
    </cdr:from>
    <cdr:to>
      <cdr:x>0.04748</cdr:x>
      <cdr:y>0.74637</cdr:y>
    </cdr:to>
    <cdr:sp macro="" textlink="">
      <cdr:nvSpPr>
        <cdr:cNvPr id="2" name="TextBox 1"/>
        <cdr:cNvSpPr txBox="1"/>
      </cdr:nvSpPr>
      <cdr:spPr>
        <a:xfrm xmlns:a="http://schemas.openxmlformats.org/drawingml/2006/main">
          <a:off x="47714" y="839016"/>
          <a:ext cx="158673" cy="1156765"/>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r>
            <a:rPr lang="en-ZA" sz="1000"/>
            <a:t>Million 15kg Cartons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9</cp:revision>
  <dcterms:created xsi:type="dcterms:W3CDTF">2019-11-27T11:29:00Z</dcterms:created>
  <dcterms:modified xsi:type="dcterms:W3CDTF">2019-11-29T05:31:00Z</dcterms:modified>
</cp:coreProperties>
</file>