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458A3D9C"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EF323D">
        <w:rPr>
          <w:rFonts w:asciiTheme="minorHAnsi" w:hAnsiTheme="minorHAnsi" w:cstheme="minorHAnsi"/>
          <w:b/>
          <w:i/>
          <w:sz w:val="24"/>
          <w:szCs w:val="24"/>
        </w:rPr>
        <w:t>15</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6F0C9B9D" w:rsidR="00361403" w:rsidRPr="008654A3" w:rsidRDefault="00EF323D" w:rsidP="00A751D8">
      <w:pPr>
        <w:rPr>
          <w:rFonts w:asciiTheme="minorHAnsi" w:hAnsiTheme="minorHAnsi" w:cstheme="minorHAnsi"/>
          <w:i/>
          <w:sz w:val="24"/>
          <w:szCs w:val="24"/>
        </w:rPr>
      </w:pPr>
      <w:r>
        <w:rPr>
          <w:rFonts w:asciiTheme="minorHAnsi" w:hAnsiTheme="minorHAnsi" w:cstheme="minorHAnsi"/>
          <w:i/>
          <w:sz w:val="24"/>
          <w:szCs w:val="24"/>
        </w:rPr>
        <w:t>Justin Chadwick 23</w:t>
      </w:r>
      <w:r w:rsidR="00F432FE">
        <w:rPr>
          <w:rFonts w:asciiTheme="minorHAnsi" w:hAnsiTheme="minorHAnsi" w:cstheme="minorHAnsi"/>
          <w:i/>
          <w:sz w:val="24"/>
          <w:szCs w:val="24"/>
        </w:rPr>
        <w:t xml:space="preserve"> April</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9D41D6" w14:paraId="1E2A57DA" w14:textId="77777777" w:rsidTr="00ED209B">
        <w:trPr>
          <w:trHeight w:val="555"/>
          <w:tblCellSpacing w:w="0" w:type="dxa"/>
        </w:trPr>
        <w:tc>
          <w:tcPr>
            <w:tcW w:w="10824" w:type="dxa"/>
            <w:vAlign w:val="center"/>
          </w:tcPr>
          <w:p w14:paraId="37AA5FCF" w14:textId="4E0744CD" w:rsidR="00836320" w:rsidRPr="009D41D6" w:rsidRDefault="004510C4" w:rsidP="00E62F08">
            <w:pPr>
              <w:spacing w:after="0"/>
              <w:ind w:right="-329"/>
              <w:rPr>
                <w:rFonts w:asciiTheme="minorHAnsi" w:hAnsiTheme="minorHAnsi" w:cstheme="minorHAnsi"/>
                <w:b/>
                <w:i/>
                <w:sz w:val="28"/>
                <w:szCs w:val="28"/>
                <w:lang w:val="en-US"/>
              </w:rPr>
            </w:pPr>
            <w:r w:rsidRPr="009D41D6">
              <w:rPr>
                <w:rFonts w:asciiTheme="minorHAnsi" w:hAnsiTheme="minorHAnsi" w:cstheme="minorHAnsi"/>
                <w:b/>
                <w:i/>
                <w:sz w:val="28"/>
                <w:szCs w:val="28"/>
                <w:lang w:val="en-US"/>
              </w:rPr>
              <w:t>“</w:t>
            </w:r>
            <w:r w:rsidR="00766BD5" w:rsidRPr="009D41D6">
              <w:rPr>
                <w:rFonts w:asciiTheme="minorHAnsi" w:hAnsiTheme="minorHAnsi" w:cstheme="minorHAnsi"/>
                <w:b/>
                <w:i/>
                <w:sz w:val="28"/>
                <w:szCs w:val="28"/>
                <w:lang w:val="en-US"/>
              </w:rPr>
              <w:t>There is little success where there is little laughter” Andrew Carnegie</w:t>
            </w:r>
          </w:p>
        </w:tc>
      </w:tr>
    </w:tbl>
    <w:p w14:paraId="7700A71C" w14:textId="3EC34410" w:rsidR="00DD3A75" w:rsidRPr="009D41D6" w:rsidRDefault="00717870" w:rsidP="00DD3A75">
      <w:pPr>
        <w:spacing w:after="0"/>
        <w:rPr>
          <w:rFonts w:eastAsiaTheme="minorHAnsi"/>
          <w:sz w:val="24"/>
          <w:szCs w:val="24"/>
        </w:rPr>
      </w:pPr>
      <w:r w:rsidRPr="009D41D6">
        <w:rPr>
          <w:rFonts w:asciiTheme="minorHAnsi" w:eastAsia="Times New Roman" w:hAnsiTheme="minorHAnsi" w:cstheme="minorHAnsi"/>
          <w:b/>
          <w:color w:val="7030A0"/>
          <w:sz w:val="24"/>
          <w:szCs w:val="24"/>
          <w:u w:val="single"/>
          <w:lang w:val="en-US"/>
        </w:rPr>
        <w:t xml:space="preserve">CGA </w:t>
      </w:r>
      <w:r w:rsidR="00887C2E" w:rsidRPr="009D41D6">
        <w:rPr>
          <w:rFonts w:asciiTheme="minorHAnsi" w:eastAsia="Times New Roman" w:hAnsiTheme="minorHAnsi" w:cstheme="minorHAnsi"/>
          <w:b/>
          <w:color w:val="7030A0"/>
          <w:sz w:val="24"/>
          <w:szCs w:val="24"/>
          <w:u w:val="single"/>
          <w:lang w:val="en-US"/>
        </w:rPr>
        <w:t>seeking</w:t>
      </w:r>
      <w:r w:rsidR="00FC5075" w:rsidRPr="009D41D6">
        <w:rPr>
          <w:rFonts w:asciiTheme="minorHAnsi" w:eastAsia="Times New Roman" w:hAnsiTheme="minorHAnsi" w:cstheme="minorHAnsi"/>
          <w:b/>
          <w:color w:val="7030A0"/>
          <w:sz w:val="24"/>
          <w:szCs w:val="24"/>
          <w:u w:val="single"/>
          <w:lang w:val="en-US"/>
        </w:rPr>
        <w:t xml:space="preserve"> a </w:t>
      </w:r>
      <w:r w:rsidRPr="009D41D6">
        <w:rPr>
          <w:rFonts w:asciiTheme="minorHAnsi" w:eastAsia="Times New Roman" w:hAnsiTheme="minorHAnsi" w:cstheme="minorHAnsi"/>
          <w:b/>
          <w:color w:val="7030A0"/>
          <w:sz w:val="24"/>
          <w:szCs w:val="24"/>
          <w:u w:val="single"/>
          <w:lang w:val="en-US"/>
        </w:rPr>
        <w:t>Food Safety and Sustainability Portfolio Assistant!</w:t>
      </w:r>
    </w:p>
    <w:p w14:paraId="25876904" w14:textId="21F75D69" w:rsidR="00804A80" w:rsidRPr="009D41D6" w:rsidRDefault="00764D4B" w:rsidP="009D41D6">
      <w:pPr>
        <w:jc w:val="both"/>
        <w:rPr>
          <w:rFonts w:cs="Calibri"/>
        </w:rPr>
      </w:pPr>
      <w:r w:rsidRPr="009D41D6">
        <w:t>We</w:t>
      </w:r>
      <w:r w:rsidR="00887C2E" w:rsidRPr="009D41D6">
        <w:t xml:space="preserve"> are looking for suitable candidates to apply for this </w:t>
      </w:r>
      <w:r w:rsidR="001135C9" w:rsidRPr="009D41D6">
        <w:t xml:space="preserve">exciting </w:t>
      </w:r>
      <w:r w:rsidR="00887C2E" w:rsidRPr="009D41D6">
        <w:t>new position</w:t>
      </w:r>
      <w:r w:rsidRPr="009D41D6">
        <w:t xml:space="preserve"> at CGA</w:t>
      </w:r>
      <w:r w:rsidR="00887C2E" w:rsidRPr="009D41D6">
        <w:t>.</w:t>
      </w:r>
      <w:r w:rsidR="009D41D6" w:rsidRPr="009D41D6">
        <w:t xml:space="preserve"> With intensifying changes to</w:t>
      </w:r>
      <w:r w:rsidR="001135C9" w:rsidRPr="009D41D6">
        <w:t xml:space="preserve"> food safety and </w:t>
      </w:r>
      <w:r w:rsidR="001729FD" w:rsidRPr="009D41D6">
        <w:t>sustainability</w:t>
      </w:r>
      <w:r w:rsidR="001135C9" w:rsidRPr="009D41D6">
        <w:t xml:space="preserve"> requirements</w:t>
      </w:r>
      <w:r w:rsidR="001729FD" w:rsidRPr="009D41D6">
        <w:t>,</w:t>
      </w:r>
      <w:r w:rsidR="001135C9" w:rsidRPr="009D41D6">
        <w:t xml:space="preserve"> </w:t>
      </w:r>
      <w:r w:rsidR="001729FD" w:rsidRPr="009D41D6">
        <w:t>more capacity is now needed</w:t>
      </w:r>
      <w:r w:rsidRPr="009D41D6">
        <w:t xml:space="preserve"> to keep ahead of these development</w:t>
      </w:r>
      <w:r w:rsidR="009D41D6" w:rsidRPr="009D41D6">
        <w:t>s</w:t>
      </w:r>
      <w:r w:rsidR="001729FD" w:rsidRPr="009D41D6">
        <w:t xml:space="preserve">.  </w:t>
      </w:r>
      <w:r w:rsidR="009D41D6" w:rsidRPr="009D41D6">
        <w:rPr>
          <w:rFonts w:cs="Calibri"/>
        </w:rPr>
        <w:t>I</w:t>
      </w:r>
      <w:r w:rsidR="001729FD" w:rsidRPr="009D41D6">
        <w:rPr>
          <w:rFonts w:cs="Calibri"/>
        </w:rPr>
        <w:t xml:space="preserve">ssues such as the increased application of Integrated Pest Management, the loss of key MRLs, adapting pesticide use practices, better water resource management and tackling climate change are constantly evolving and the citrus industry needs to anticipate and proactively </w:t>
      </w:r>
      <w:r w:rsidR="00DE03CD" w:rsidRPr="009D41D6">
        <w:rPr>
          <w:rFonts w:cs="Calibri"/>
        </w:rPr>
        <w:t>prepare for</w:t>
      </w:r>
      <w:r w:rsidR="009D41D6" w:rsidRPr="009D41D6">
        <w:rPr>
          <w:rFonts w:cs="Calibri"/>
        </w:rPr>
        <w:t>,</w:t>
      </w:r>
      <w:r w:rsidR="00DE03CD" w:rsidRPr="009D41D6">
        <w:rPr>
          <w:rFonts w:cs="Calibri"/>
        </w:rPr>
        <w:t xml:space="preserve"> and adjust</w:t>
      </w:r>
      <w:r w:rsidR="001729FD" w:rsidRPr="009D41D6">
        <w:rPr>
          <w:rFonts w:cs="Calibri"/>
        </w:rPr>
        <w:t xml:space="preserve"> to</w:t>
      </w:r>
      <w:r w:rsidR="009D41D6" w:rsidRPr="009D41D6">
        <w:rPr>
          <w:rFonts w:cs="Calibri"/>
        </w:rPr>
        <w:t>,</w:t>
      </w:r>
      <w:r w:rsidR="001729FD" w:rsidRPr="009D41D6">
        <w:rPr>
          <w:rFonts w:cs="Calibri"/>
        </w:rPr>
        <w:t xml:space="preserve"> these changes. </w:t>
      </w:r>
      <w:r w:rsidR="00887C2E" w:rsidRPr="009D41D6">
        <w:t>With</w:t>
      </w:r>
      <w:r w:rsidR="001729FD" w:rsidRPr="009D41D6">
        <w:t>in</w:t>
      </w:r>
      <w:r w:rsidR="00887C2E" w:rsidRPr="009D41D6">
        <w:t xml:space="preserve"> the framework of </w:t>
      </w:r>
      <w:r w:rsidR="00717870" w:rsidRPr="009D41D6">
        <w:t xml:space="preserve">the CGA Food Safety and Sustainability </w:t>
      </w:r>
      <w:r w:rsidR="00FC5075" w:rsidRPr="009D41D6">
        <w:t>Strategic</w:t>
      </w:r>
      <w:r w:rsidR="00717870" w:rsidRPr="009D41D6">
        <w:t xml:space="preserve"> Plan</w:t>
      </w:r>
      <w:r w:rsidR="00DE03CD" w:rsidRPr="009D41D6">
        <w:t>,</w:t>
      </w:r>
      <w:r w:rsidR="00717870" w:rsidRPr="009D41D6">
        <w:t xml:space="preserve"> </w:t>
      </w:r>
      <w:r w:rsidR="001729FD" w:rsidRPr="009D41D6">
        <w:t>t</w:t>
      </w:r>
      <w:r w:rsidR="00FC5075" w:rsidRPr="009D41D6">
        <w:rPr>
          <w:rFonts w:cs="Calibri"/>
        </w:rPr>
        <w:t xml:space="preserve">his new position has been created to provide </w:t>
      </w:r>
      <w:r w:rsidR="00804A80" w:rsidRPr="009D41D6">
        <w:rPr>
          <w:rFonts w:cs="Calibri"/>
        </w:rPr>
        <w:t>Paul Hardman</w:t>
      </w:r>
      <w:r w:rsidR="00FC5075" w:rsidRPr="009D41D6">
        <w:rPr>
          <w:rFonts w:cs="Calibri"/>
        </w:rPr>
        <w:t xml:space="preserve"> with additional administrative and technical support</w:t>
      </w:r>
      <w:r w:rsidR="00804A80" w:rsidRPr="009D41D6">
        <w:rPr>
          <w:rFonts w:cs="Calibri"/>
        </w:rPr>
        <w:t xml:space="preserve">. </w:t>
      </w:r>
      <w:r w:rsidR="009D41D6">
        <w:rPr>
          <w:rFonts w:cs="Calibri"/>
        </w:rPr>
        <w:t xml:space="preserve"> A</w:t>
      </w:r>
      <w:r w:rsidR="00887C2E" w:rsidRPr="009D41D6">
        <w:rPr>
          <w:rFonts w:cs="Calibri"/>
        </w:rPr>
        <w:t xml:space="preserve"> full description of the position is on the CGA Website</w:t>
      </w:r>
      <w:r w:rsidR="00DE03CD" w:rsidRPr="009D41D6">
        <w:rPr>
          <w:rFonts w:cs="Calibri"/>
        </w:rPr>
        <w:t xml:space="preserve"> (</w:t>
      </w:r>
      <w:hyperlink r:id="rId8" w:history="1">
        <w:r w:rsidR="00DE03CD" w:rsidRPr="009D41D6">
          <w:rPr>
            <w:rStyle w:val="Hyperlink"/>
            <w:rFonts w:cs="Calibri"/>
            <w:i/>
            <w:iCs/>
          </w:rPr>
          <w:t>here</w:t>
        </w:r>
      </w:hyperlink>
      <w:r w:rsidR="00DE03CD" w:rsidRPr="009D41D6">
        <w:rPr>
          <w:rFonts w:cs="Calibri"/>
        </w:rPr>
        <w:t>)</w:t>
      </w:r>
      <w:r w:rsidR="00887C2E" w:rsidRPr="009D41D6">
        <w:rPr>
          <w:rFonts w:cs="Calibri"/>
        </w:rPr>
        <w:t>. Interested parties should follow the</w:t>
      </w:r>
      <w:r w:rsidR="00DE03CD" w:rsidRPr="009D41D6">
        <w:rPr>
          <w:rFonts w:cs="Calibri"/>
        </w:rPr>
        <w:t>se</w:t>
      </w:r>
      <w:r w:rsidR="00887C2E" w:rsidRPr="009D41D6">
        <w:rPr>
          <w:rFonts w:cs="Calibri"/>
        </w:rPr>
        <w:t xml:space="preserve"> instructions there on how to apply</w:t>
      </w:r>
      <w:r w:rsidR="009D41D6">
        <w:rPr>
          <w:rFonts w:cs="Calibri"/>
        </w:rPr>
        <w:t xml:space="preserve"> </w:t>
      </w:r>
      <w:r w:rsidR="00DE03CD" w:rsidRPr="009D41D6">
        <w:rPr>
          <w:rFonts w:cs="Calibri"/>
        </w:rPr>
        <w:t xml:space="preserve">before </w:t>
      </w:r>
      <w:r w:rsidR="00DE03CD" w:rsidRPr="009D41D6">
        <w:rPr>
          <w:rFonts w:cs="Calibri"/>
          <w:b/>
          <w:bCs/>
        </w:rPr>
        <w:t>27</w:t>
      </w:r>
      <w:r w:rsidR="009D41D6">
        <w:rPr>
          <w:rFonts w:cs="Calibri"/>
          <w:b/>
          <w:bCs/>
        </w:rPr>
        <w:t xml:space="preserve"> </w:t>
      </w:r>
      <w:r w:rsidR="00DE03CD" w:rsidRPr="009D41D6">
        <w:rPr>
          <w:rFonts w:cs="Calibri"/>
          <w:b/>
          <w:bCs/>
        </w:rPr>
        <w:t>April 2021</w:t>
      </w:r>
      <w:r w:rsidR="00887C2E" w:rsidRPr="009D41D6">
        <w:rPr>
          <w:rFonts w:cs="Calibri"/>
        </w:rPr>
        <w:t>.</w:t>
      </w:r>
    </w:p>
    <w:p w14:paraId="333E430F" w14:textId="1FB6A6FE" w:rsidR="00887C2E" w:rsidRPr="009D41D6" w:rsidRDefault="00887C2E" w:rsidP="00887C2E">
      <w:pPr>
        <w:spacing w:after="0"/>
        <w:rPr>
          <w:rFonts w:eastAsiaTheme="minorHAnsi"/>
          <w:sz w:val="24"/>
          <w:szCs w:val="24"/>
        </w:rPr>
      </w:pPr>
      <w:r w:rsidRPr="009D41D6">
        <w:rPr>
          <w:rFonts w:asciiTheme="minorHAnsi" w:eastAsia="Times New Roman" w:hAnsiTheme="minorHAnsi" w:cstheme="minorHAnsi"/>
          <w:b/>
          <w:color w:val="7030A0"/>
          <w:sz w:val="24"/>
          <w:szCs w:val="24"/>
          <w:u w:val="single"/>
          <w:lang w:val="en-US"/>
        </w:rPr>
        <w:t>Citrus Sustainability Survey</w:t>
      </w:r>
    </w:p>
    <w:p w14:paraId="69EDFCA0" w14:textId="7AC910E2" w:rsidR="00CA59C0" w:rsidRPr="009D41D6" w:rsidRDefault="00CA59C0" w:rsidP="009D41D6">
      <w:pPr>
        <w:jc w:val="both"/>
      </w:pPr>
      <w:r w:rsidRPr="009D41D6">
        <w:t>Citrus industry stakeholders</w:t>
      </w:r>
      <w:r w:rsidR="00DE03CD" w:rsidRPr="009D41D6">
        <w:t xml:space="preserve"> are strongly encouraged to participate in the Citrus Sustainability Survey. This </w:t>
      </w:r>
      <w:r w:rsidRPr="009D41D6">
        <w:t xml:space="preserve">online </w:t>
      </w:r>
      <w:r w:rsidR="00DE03CD" w:rsidRPr="009D41D6">
        <w:t>survey</w:t>
      </w:r>
      <w:r w:rsidRPr="009D41D6">
        <w:t xml:space="preserve"> has been set up to help CGA to </w:t>
      </w:r>
      <w:r w:rsidR="009D41D6">
        <w:t xml:space="preserve">confirm and </w:t>
      </w:r>
      <w:r w:rsidRPr="009D41D6">
        <w:t>understand the nature of challenges faced by growers, packhouses and exporters</w:t>
      </w:r>
      <w:r w:rsidR="009D41D6">
        <w:t xml:space="preserve">, including topics like IPM, MRLs and other sustainability factors </w:t>
      </w:r>
      <w:r w:rsidRPr="009D41D6">
        <w:t>. This data will form a baseline to track issues over time and develop the background informatio</w:t>
      </w:r>
      <w:r w:rsidR="00673F77">
        <w:t>n needed to effectively engage</w:t>
      </w:r>
      <w:r w:rsidRPr="009D41D6">
        <w:t xml:space="preserve"> with importers, retailers and regulators. The information will be treated confidentially and aggregated to prevent any commercial fallout. The online Citrus Sustain</w:t>
      </w:r>
      <w:r w:rsidR="00FE44EC" w:rsidRPr="009D41D6">
        <w:t xml:space="preserve">ability Survey can be found </w:t>
      </w:r>
      <w:hyperlink r:id="rId9" w:history="1">
        <w:r w:rsidR="00FE44EC" w:rsidRPr="009D41D6">
          <w:rPr>
            <w:rStyle w:val="Hyperlink"/>
            <w:i/>
            <w:iCs/>
          </w:rPr>
          <w:t>here</w:t>
        </w:r>
      </w:hyperlink>
      <w:r w:rsidR="00FE44EC" w:rsidRPr="009D41D6">
        <w:t xml:space="preserve"> . Res</w:t>
      </w:r>
      <w:r w:rsidR="009D41D6">
        <w:rPr>
          <w:lang w:val="en-US"/>
        </w:rPr>
        <w:t>p</w:t>
      </w:r>
      <w:r w:rsidRPr="009D41D6">
        <w:rPr>
          <w:lang w:val="en-US"/>
        </w:rPr>
        <w:t xml:space="preserve">onses are requested before </w:t>
      </w:r>
      <w:r w:rsidRPr="009D41D6">
        <w:rPr>
          <w:b/>
          <w:bCs/>
          <w:lang w:val="en-US"/>
        </w:rPr>
        <w:t>10</w:t>
      </w:r>
      <w:r w:rsidRPr="009D41D6">
        <w:rPr>
          <w:b/>
          <w:bCs/>
          <w:vertAlign w:val="superscript"/>
          <w:lang w:val="en-US"/>
        </w:rPr>
        <w:t>th</w:t>
      </w:r>
      <w:r w:rsidRPr="009D41D6">
        <w:rPr>
          <w:b/>
          <w:bCs/>
          <w:lang w:val="en-US"/>
        </w:rPr>
        <w:t xml:space="preserve"> May 2021.</w:t>
      </w:r>
      <w:bookmarkStart w:id="0" w:name="_GoBack"/>
      <w:bookmarkEnd w:id="0"/>
    </w:p>
    <w:p w14:paraId="2D244E9F" w14:textId="17B6638E" w:rsidR="002F2B2B" w:rsidRPr="00F86285" w:rsidRDefault="00F86285" w:rsidP="00F86285">
      <w:pPr>
        <w:pStyle w:val="PlainText"/>
      </w:pPr>
      <w:r>
        <w:t xml:space="preserve"> </w:t>
      </w:r>
    </w:p>
    <w:p w14:paraId="55FC0BAE" w14:textId="11EE39CC" w:rsidR="002F2B2B" w:rsidRDefault="00B07E05" w:rsidP="00DD3A75">
      <w:pPr>
        <w:spacing w:after="0"/>
        <w:rPr>
          <w:rFonts w:asciiTheme="minorHAnsi" w:eastAsia="Times New Roman" w:hAnsiTheme="minorHAnsi" w:cstheme="minorHAnsi"/>
          <w:b/>
          <w:color w:val="7030A0"/>
          <w:sz w:val="24"/>
          <w:szCs w:val="24"/>
          <w:u w:val="single"/>
          <w:lang w:val="en-US"/>
        </w:rPr>
      </w:pPr>
      <w:r w:rsidRPr="002F2B2B">
        <w:rPr>
          <w:rFonts w:asciiTheme="minorHAnsi" w:eastAsia="Times New Roman" w:hAnsiTheme="minorHAnsi" w:cstheme="minorHAnsi"/>
          <w:b/>
          <w:color w:val="7030A0"/>
          <w:sz w:val="24"/>
          <w:szCs w:val="24"/>
          <w:u w:val="single"/>
          <w:lang w:val="en-US"/>
        </w:rPr>
        <w:t xml:space="preserve">WEEKLY STATISTIC: </w:t>
      </w:r>
      <w:r w:rsidR="00043452">
        <w:rPr>
          <w:rFonts w:asciiTheme="minorHAnsi" w:eastAsia="Times New Roman" w:hAnsiTheme="minorHAnsi" w:cstheme="minorHAnsi"/>
          <w:b/>
          <w:color w:val="7030A0"/>
          <w:sz w:val="24"/>
          <w:szCs w:val="24"/>
          <w:u w:val="single"/>
          <w:lang w:val="en-US"/>
        </w:rPr>
        <w:t>2021 GRAPEFRUIT</w:t>
      </w:r>
      <w:r w:rsidR="00C32E5C" w:rsidRPr="002F2B2B">
        <w:rPr>
          <w:rFonts w:asciiTheme="minorHAnsi" w:eastAsia="Times New Roman" w:hAnsiTheme="minorHAnsi" w:cstheme="minorHAnsi"/>
          <w:b/>
          <w:color w:val="7030A0"/>
          <w:sz w:val="24"/>
          <w:szCs w:val="24"/>
          <w:u w:val="single"/>
          <w:lang w:val="en-US"/>
        </w:rPr>
        <w:t xml:space="preserve"> ESTIMATE</w:t>
      </w:r>
    </w:p>
    <w:p w14:paraId="2C932E0A" w14:textId="7B2BF9E8" w:rsidR="00692CDA" w:rsidRPr="00692CDA" w:rsidRDefault="00FE44EC" w:rsidP="00DD3A75">
      <w:pPr>
        <w:spacing w:after="0"/>
        <w:rPr>
          <w:rFonts w:asciiTheme="minorHAnsi" w:eastAsia="Times New Roman" w:hAnsiTheme="minorHAnsi" w:cstheme="minorHAnsi"/>
          <w:sz w:val="24"/>
          <w:szCs w:val="24"/>
          <w:lang w:val="en-US"/>
        </w:rPr>
      </w:pPr>
      <w:r w:rsidRPr="00F27F68">
        <w:rPr>
          <w:rFonts w:asciiTheme="minorHAnsi" w:eastAsia="Times New Roman" w:hAnsiTheme="minorHAnsi" w:cstheme="minorHAnsi"/>
          <w:noProof/>
          <w:sz w:val="24"/>
          <w:szCs w:val="24"/>
          <w:lang w:eastAsia="en-ZA"/>
        </w:rPr>
        <mc:AlternateContent>
          <mc:Choice Requires="wps">
            <w:drawing>
              <wp:anchor distT="45720" distB="45720" distL="114300" distR="114300" simplePos="0" relativeHeight="251661312" behindDoc="0" locked="0" layoutInCell="1" allowOverlap="1" wp14:anchorId="6FCE5027" wp14:editId="37B6148A">
                <wp:simplePos x="0" y="0"/>
                <wp:positionH relativeFrom="margin">
                  <wp:align>right</wp:align>
                </wp:positionH>
                <wp:positionV relativeFrom="paragraph">
                  <wp:posOffset>5715</wp:posOffset>
                </wp:positionV>
                <wp:extent cx="2552700" cy="1404620"/>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404620"/>
                        </a:xfrm>
                        <a:prstGeom prst="rect">
                          <a:avLst/>
                        </a:prstGeom>
                        <a:solidFill>
                          <a:srgbClr val="FFFFFF"/>
                        </a:solidFill>
                        <a:ln w="9525">
                          <a:solidFill>
                            <a:schemeClr val="accent2"/>
                          </a:solidFill>
                          <a:miter lim="800000"/>
                          <a:headEnd/>
                          <a:tailEnd/>
                        </a:ln>
                      </wps:spPr>
                      <wps:txbx>
                        <w:txbxContent>
                          <w:p w14:paraId="379C7CEC" w14:textId="7B22FC97" w:rsidR="00043452" w:rsidRPr="00FE44EC" w:rsidRDefault="00043452" w:rsidP="00043452">
                            <w:pPr>
                              <w:spacing w:after="0"/>
                              <w:rPr>
                                <w:sz w:val="20"/>
                                <w:szCs w:val="20"/>
                                <w:lang w:val="en-US"/>
                              </w:rPr>
                            </w:pPr>
                            <w:r w:rsidRPr="00FE44EC">
                              <w:rPr>
                                <w:sz w:val="20"/>
                                <w:szCs w:val="20"/>
                                <w:lang w:val="en-US"/>
                              </w:rPr>
                              <w:t xml:space="preserve">Generally, grapefruit have followed an alternative bearing trend, with 2021 being an “on” year. The estimated volume for 2021 is 16% greater than the volume exported in 2020. </w:t>
                            </w:r>
                          </w:p>
                          <w:p w14:paraId="084137ED" w14:textId="4A6402B6" w:rsidR="00043452" w:rsidRPr="00FE44EC" w:rsidRDefault="00043452" w:rsidP="00043452">
                            <w:pPr>
                              <w:spacing w:after="0"/>
                              <w:rPr>
                                <w:sz w:val="20"/>
                                <w:szCs w:val="20"/>
                                <w:lang w:val="en-US"/>
                              </w:rPr>
                            </w:pPr>
                            <w:r w:rsidRPr="00FE44EC">
                              <w:rPr>
                                <w:sz w:val="20"/>
                                <w:szCs w:val="20"/>
                                <w:lang w:val="en-US"/>
                              </w:rPr>
                              <w:t>The volumes are shown in 17 Kg cartons, and reveal that the 2021 export volume is marginally higher than the 2013 volumes, but some half a million cartons off the 2018 record grapefruit export crop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FCE5027" id="_x0000_t202" coordsize="21600,21600" o:spt="202" path="m,l,21600r21600,l21600,xe">
                <v:stroke joinstyle="miter"/>
                <v:path gradientshapeok="t" o:connecttype="rect"/>
              </v:shapetype>
              <v:shape id="Text Box 2" o:spid="_x0000_s1026" type="#_x0000_t202" style="position:absolute;margin-left:149.8pt;margin-top:.45pt;width:201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" strokecolor="#ed7d31 [3205]">
                <v:textbox style="mso-fit-shape-to-text:t">
                  <w:txbxContent>
                    <w:p w14:paraId="379C7CEC" w14:textId="7B22FC97" w:rsidR="00043452" w:rsidRPr="00FE44EC" w:rsidRDefault="00043452" w:rsidP="00043452">
                      <w:pPr>
                        <w:spacing w:after="0"/>
                        <w:rPr>
                          <w:sz w:val="20"/>
                          <w:szCs w:val="20"/>
                          <w:lang w:val="en-US"/>
                        </w:rPr>
                      </w:pPr>
                      <w:r w:rsidRPr="00FE44EC">
                        <w:rPr>
                          <w:sz w:val="20"/>
                          <w:szCs w:val="20"/>
                          <w:lang w:val="en-US"/>
                        </w:rPr>
                        <w:t xml:space="preserve">Generally, grapefruit have followed an alternative bearing trend, with 2021 being an “on” year. The estimated volume for 2021 is 16% greater than the volume exported in 2020. </w:t>
                      </w:r>
                    </w:p>
                    <w:p w14:paraId="084137ED" w14:textId="4A6402B6" w:rsidR="00043452" w:rsidRPr="00FE44EC" w:rsidRDefault="00043452" w:rsidP="00043452">
                      <w:pPr>
                        <w:spacing w:after="0"/>
                        <w:rPr>
                          <w:sz w:val="20"/>
                          <w:szCs w:val="20"/>
                          <w:lang w:val="en-US"/>
                        </w:rPr>
                      </w:pPr>
                      <w:r w:rsidRPr="00FE44EC">
                        <w:rPr>
                          <w:sz w:val="20"/>
                          <w:szCs w:val="20"/>
                          <w:lang w:val="en-US"/>
                        </w:rPr>
                        <w:t>The volumes are shown in 17 Kg cartons, and reveal that the 2021 export volume is marginally higher than the 2013 volumes, but some half a million cartons off the 2018 record grapefruit export crop</w:t>
                      </w:r>
                    </w:p>
                  </w:txbxContent>
                </v:textbox>
                <w10:wrap type="square" anchorx="margin"/>
              </v:shape>
            </w:pict>
          </mc:Fallback>
        </mc:AlternateContent>
      </w:r>
      <w:r w:rsidR="00043452" w:rsidRPr="00043452">
        <w:rPr>
          <w:rFonts w:asciiTheme="minorHAnsi" w:eastAsia="Times New Roman" w:hAnsiTheme="minorHAnsi" w:cstheme="minorHAnsi"/>
          <w:noProof/>
          <w:sz w:val="24"/>
          <w:szCs w:val="24"/>
          <w:lang w:eastAsia="en-ZA"/>
        </w:rPr>
        <w:drawing>
          <wp:inline distT="0" distB="0" distL="0" distR="0" wp14:anchorId="3BD69D5A" wp14:editId="37EA0C70">
            <wp:extent cx="3914775" cy="19145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14A975F" w14:textId="03A3097C" w:rsidR="00FF218A" w:rsidRPr="00FE44EC" w:rsidRDefault="00692CDA" w:rsidP="00FE44EC">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PACKED AND SHIPPED</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17"/>
        <w:gridCol w:w="817"/>
        <w:gridCol w:w="817"/>
        <w:gridCol w:w="877"/>
        <w:gridCol w:w="877"/>
        <w:gridCol w:w="1587"/>
        <w:gridCol w:w="1017"/>
        <w:gridCol w:w="1257"/>
      </w:tblGrid>
      <w:tr w:rsidR="006E0F63" w:rsidRPr="00901D81" w14:paraId="349F4347" w14:textId="77777777" w:rsidTr="001569D4">
        <w:trPr>
          <w:trHeight w:val="401"/>
        </w:trPr>
        <w:tc>
          <w:tcPr>
            <w:tcW w:w="2027" w:type="dxa"/>
          </w:tcPr>
          <w:p w14:paraId="6CA72EC7" w14:textId="77777777" w:rsidR="006E0F63" w:rsidRPr="00901D81" w:rsidRDefault="006E0F63" w:rsidP="001569D4">
            <w:pPr>
              <w:spacing w:after="0" w:line="240" w:lineRule="auto"/>
              <w:rPr>
                <w:rFonts w:ascii="Arial" w:hAnsi="Arial" w:cs="Arial"/>
                <w:sz w:val="18"/>
                <w:szCs w:val="18"/>
              </w:rPr>
            </w:pPr>
            <w:r>
              <w:rPr>
                <w:rFonts w:ascii="Arial" w:hAnsi="Arial" w:cs="Arial"/>
                <w:sz w:val="18"/>
                <w:szCs w:val="18"/>
              </w:rPr>
              <w:t>To Week 16</w:t>
            </w:r>
          </w:p>
          <w:p w14:paraId="64BA7F34" w14:textId="77777777" w:rsidR="006E0F63" w:rsidRPr="00901D81" w:rsidRDefault="006E0F63" w:rsidP="001569D4">
            <w:pPr>
              <w:spacing w:after="0" w:line="240" w:lineRule="auto"/>
              <w:rPr>
                <w:rFonts w:ascii="Arial" w:hAnsi="Arial" w:cs="Arial"/>
                <w:sz w:val="18"/>
                <w:szCs w:val="18"/>
              </w:rPr>
            </w:pPr>
            <w:r w:rsidRPr="00901D81">
              <w:rPr>
                <w:rFonts w:ascii="Arial" w:hAnsi="Arial" w:cs="Arial"/>
                <w:sz w:val="18"/>
                <w:szCs w:val="18"/>
              </w:rPr>
              <w:t>Million 15 Kg Cartons</w:t>
            </w:r>
          </w:p>
        </w:tc>
        <w:tc>
          <w:tcPr>
            <w:tcW w:w="0" w:type="auto"/>
            <w:shd w:val="clear" w:color="auto" w:fill="CCCCCC"/>
          </w:tcPr>
          <w:p w14:paraId="61AED1EB"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 xml:space="preserve">Packed </w:t>
            </w:r>
          </w:p>
        </w:tc>
        <w:tc>
          <w:tcPr>
            <w:tcW w:w="0" w:type="auto"/>
            <w:tcBorders>
              <w:right w:val="thinThickSmallGap" w:sz="24" w:space="0" w:color="auto"/>
            </w:tcBorders>
            <w:shd w:val="clear" w:color="auto" w:fill="CCCCCC"/>
          </w:tcPr>
          <w:p w14:paraId="0AB81105"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5271AED4"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Packed</w:t>
            </w:r>
          </w:p>
        </w:tc>
        <w:tc>
          <w:tcPr>
            <w:tcW w:w="0" w:type="auto"/>
            <w:tcBorders>
              <w:left w:val="thinThickSmallGap" w:sz="24" w:space="0" w:color="auto"/>
              <w:right w:val="thinThickSmallGap" w:sz="24" w:space="0" w:color="auto"/>
            </w:tcBorders>
            <w:shd w:val="clear" w:color="auto" w:fill="E6E6E6"/>
          </w:tcPr>
          <w:p w14:paraId="6E4CD5D4"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top w:val="thinThickSmallGap" w:sz="24" w:space="0" w:color="auto"/>
              <w:left w:val="thinThickSmallGap" w:sz="24" w:space="0" w:color="auto"/>
              <w:right w:val="thinThickSmallGap" w:sz="24" w:space="0" w:color="auto"/>
            </w:tcBorders>
            <w:shd w:val="clear" w:color="auto" w:fill="E6E6E6"/>
          </w:tcPr>
          <w:p w14:paraId="14B4058D"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Shipped</w:t>
            </w:r>
          </w:p>
        </w:tc>
        <w:tc>
          <w:tcPr>
            <w:tcW w:w="0" w:type="auto"/>
            <w:tcBorders>
              <w:left w:val="thinThickSmallGap" w:sz="24" w:space="0" w:color="auto"/>
            </w:tcBorders>
            <w:shd w:val="clear" w:color="auto" w:fill="E6E6E6"/>
          </w:tcPr>
          <w:p w14:paraId="5945BC7A"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Original Estimate</w:t>
            </w:r>
          </w:p>
        </w:tc>
        <w:tc>
          <w:tcPr>
            <w:tcW w:w="0" w:type="auto"/>
            <w:shd w:val="clear" w:color="auto" w:fill="E6E6E6"/>
          </w:tcPr>
          <w:p w14:paraId="635C6E62"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Latest</w:t>
            </w:r>
          </w:p>
          <w:p w14:paraId="6C038C2D"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Prediction</w:t>
            </w:r>
          </w:p>
        </w:tc>
        <w:tc>
          <w:tcPr>
            <w:tcW w:w="0" w:type="auto"/>
            <w:shd w:val="clear" w:color="auto" w:fill="E6E6E6"/>
          </w:tcPr>
          <w:p w14:paraId="5F258DBC" w14:textId="77777777" w:rsidR="006E0F63" w:rsidRPr="00901D81" w:rsidRDefault="006E0F63" w:rsidP="001569D4">
            <w:pPr>
              <w:spacing w:after="0" w:line="240" w:lineRule="auto"/>
              <w:jc w:val="right"/>
              <w:rPr>
                <w:rFonts w:ascii="Arial" w:hAnsi="Arial" w:cs="Arial"/>
                <w:sz w:val="18"/>
                <w:szCs w:val="18"/>
              </w:rPr>
            </w:pPr>
            <w:r w:rsidRPr="00901D81">
              <w:rPr>
                <w:rFonts w:ascii="Arial" w:hAnsi="Arial" w:cs="Arial"/>
                <w:sz w:val="18"/>
                <w:szCs w:val="18"/>
              </w:rPr>
              <w:t>Final Packed</w:t>
            </w:r>
          </w:p>
          <w:p w14:paraId="3EBB5B02" w14:textId="77777777" w:rsidR="006E0F63" w:rsidRPr="00901D81" w:rsidRDefault="006E0F63" w:rsidP="001569D4">
            <w:pPr>
              <w:spacing w:after="0" w:line="240" w:lineRule="auto"/>
              <w:jc w:val="right"/>
              <w:rPr>
                <w:rFonts w:ascii="Arial" w:hAnsi="Arial" w:cs="Arial"/>
                <w:sz w:val="18"/>
                <w:szCs w:val="18"/>
              </w:rPr>
            </w:pPr>
          </w:p>
        </w:tc>
      </w:tr>
      <w:tr w:rsidR="006E0F63" w:rsidRPr="00901D81" w14:paraId="1682AE02" w14:textId="77777777" w:rsidTr="001569D4">
        <w:trPr>
          <w:trHeight w:val="200"/>
        </w:trPr>
        <w:tc>
          <w:tcPr>
            <w:tcW w:w="2027" w:type="dxa"/>
          </w:tcPr>
          <w:p w14:paraId="5CE4D5AE" w14:textId="77777777" w:rsidR="006E0F63" w:rsidRPr="00901D81" w:rsidRDefault="006E0F63" w:rsidP="001569D4">
            <w:pPr>
              <w:spacing w:after="0" w:line="240" w:lineRule="auto"/>
              <w:rPr>
                <w:rFonts w:ascii="Arial" w:hAnsi="Arial" w:cs="Arial"/>
                <w:b/>
                <w:sz w:val="18"/>
                <w:szCs w:val="18"/>
              </w:rPr>
            </w:pPr>
            <w:r w:rsidRPr="00901D81">
              <w:rPr>
                <w:rFonts w:ascii="Arial" w:hAnsi="Arial" w:cs="Arial"/>
                <w:b/>
                <w:sz w:val="18"/>
                <w:szCs w:val="18"/>
              </w:rPr>
              <w:t>SOURCE: PPECB</w:t>
            </w:r>
          </w:p>
        </w:tc>
        <w:tc>
          <w:tcPr>
            <w:tcW w:w="0" w:type="auto"/>
            <w:shd w:val="clear" w:color="auto" w:fill="CCCCCC"/>
          </w:tcPr>
          <w:p w14:paraId="51E65AB6"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2019</w:t>
            </w:r>
          </w:p>
        </w:tc>
        <w:tc>
          <w:tcPr>
            <w:tcW w:w="0" w:type="auto"/>
            <w:tcBorders>
              <w:right w:val="thinThickSmallGap" w:sz="24" w:space="0" w:color="auto"/>
            </w:tcBorders>
            <w:shd w:val="clear" w:color="auto" w:fill="CCCCCC"/>
          </w:tcPr>
          <w:p w14:paraId="0D32E48B"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476559A"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right w:val="thinThickSmallGap" w:sz="24" w:space="0" w:color="auto"/>
            </w:tcBorders>
            <w:shd w:val="clear" w:color="auto" w:fill="E6E6E6"/>
          </w:tcPr>
          <w:p w14:paraId="7ABEDC1E"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2020</w:t>
            </w:r>
          </w:p>
        </w:tc>
        <w:tc>
          <w:tcPr>
            <w:tcW w:w="0" w:type="auto"/>
            <w:tcBorders>
              <w:left w:val="thinThickSmallGap" w:sz="24" w:space="0" w:color="auto"/>
              <w:right w:val="thinThickSmallGap" w:sz="24" w:space="0" w:color="auto"/>
            </w:tcBorders>
            <w:shd w:val="clear" w:color="auto" w:fill="E6E6E6"/>
          </w:tcPr>
          <w:p w14:paraId="070F6FC0"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2021</w:t>
            </w:r>
          </w:p>
        </w:tc>
        <w:tc>
          <w:tcPr>
            <w:tcW w:w="0" w:type="auto"/>
            <w:tcBorders>
              <w:left w:val="thinThickSmallGap" w:sz="24" w:space="0" w:color="auto"/>
            </w:tcBorders>
            <w:shd w:val="clear" w:color="auto" w:fill="E6E6E6"/>
          </w:tcPr>
          <w:p w14:paraId="763ECE2C"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62785B61"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2021</w:t>
            </w:r>
          </w:p>
        </w:tc>
        <w:tc>
          <w:tcPr>
            <w:tcW w:w="0" w:type="auto"/>
            <w:shd w:val="clear" w:color="auto" w:fill="E6E6E6"/>
          </w:tcPr>
          <w:p w14:paraId="3E567992"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2020</w:t>
            </w:r>
          </w:p>
        </w:tc>
      </w:tr>
      <w:tr w:rsidR="006E0F63" w:rsidRPr="00901D81" w14:paraId="1C652757" w14:textId="77777777" w:rsidTr="001569D4">
        <w:trPr>
          <w:trHeight w:val="214"/>
        </w:trPr>
        <w:tc>
          <w:tcPr>
            <w:tcW w:w="2027" w:type="dxa"/>
          </w:tcPr>
          <w:p w14:paraId="2E5A3FA5" w14:textId="77777777" w:rsidR="006E0F63" w:rsidRPr="00901D81" w:rsidRDefault="006E0F63" w:rsidP="001569D4">
            <w:pPr>
              <w:spacing w:after="0" w:line="240" w:lineRule="auto"/>
              <w:rPr>
                <w:rFonts w:ascii="Arial" w:hAnsi="Arial" w:cs="Arial"/>
                <w:sz w:val="18"/>
                <w:szCs w:val="18"/>
              </w:rPr>
            </w:pPr>
            <w:r w:rsidRPr="00901D81">
              <w:rPr>
                <w:rFonts w:ascii="Arial" w:hAnsi="Arial" w:cs="Arial"/>
                <w:sz w:val="18"/>
                <w:szCs w:val="18"/>
              </w:rPr>
              <w:t>Grapefruit</w:t>
            </w:r>
          </w:p>
        </w:tc>
        <w:tc>
          <w:tcPr>
            <w:tcW w:w="0" w:type="auto"/>
            <w:shd w:val="clear" w:color="auto" w:fill="CCCCCC"/>
          </w:tcPr>
          <w:p w14:paraId="57486A44" w14:textId="1D89216D"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1.1 m</w:t>
            </w:r>
          </w:p>
        </w:tc>
        <w:tc>
          <w:tcPr>
            <w:tcW w:w="0" w:type="auto"/>
            <w:tcBorders>
              <w:right w:val="thinThickSmallGap" w:sz="24" w:space="0" w:color="auto"/>
            </w:tcBorders>
            <w:shd w:val="clear" w:color="auto" w:fill="CCCCCC"/>
          </w:tcPr>
          <w:p w14:paraId="10219DEE" w14:textId="12E578E8"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1.6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74B46429" w14:textId="60B8DB9E"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3.0 m</w:t>
            </w:r>
          </w:p>
        </w:tc>
        <w:tc>
          <w:tcPr>
            <w:tcW w:w="0" w:type="auto"/>
            <w:tcBorders>
              <w:left w:val="thinThickSmallGap" w:sz="24" w:space="0" w:color="auto"/>
              <w:right w:val="thinThickSmallGap" w:sz="24" w:space="0" w:color="auto"/>
            </w:tcBorders>
            <w:shd w:val="clear" w:color="auto" w:fill="E6E6E6"/>
          </w:tcPr>
          <w:p w14:paraId="47737BA5"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0.4 m</w:t>
            </w:r>
          </w:p>
        </w:tc>
        <w:tc>
          <w:tcPr>
            <w:tcW w:w="0" w:type="auto"/>
            <w:tcBorders>
              <w:left w:val="thinThickSmallGap" w:sz="24" w:space="0" w:color="auto"/>
              <w:right w:val="thinThickSmallGap" w:sz="24" w:space="0" w:color="auto"/>
            </w:tcBorders>
            <w:shd w:val="clear" w:color="auto" w:fill="E6E6E6"/>
          </w:tcPr>
          <w:p w14:paraId="345B416F" w14:textId="72455BE0" w:rsidR="006E0F63" w:rsidRPr="00901D81" w:rsidRDefault="00825440" w:rsidP="001569D4">
            <w:pPr>
              <w:spacing w:after="0" w:line="240" w:lineRule="auto"/>
              <w:jc w:val="right"/>
              <w:rPr>
                <w:rFonts w:ascii="Arial" w:hAnsi="Arial" w:cs="Arial"/>
                <w:sz w:val="18"/>
                <w:szCs w:val="18"/>
              </w:rPr>
            </w:pPr>
            <w:r>
              <w:rPr>
                <w:rFonts w:ascii="Arial" w:hAnsi="Arial" w:cs="Arial"/>
                <w:sz w:val="18"/>
                <w:szCs w:val="18"/>
              </w:rPr>
              <w:t>0.5</w:t>
            </w:r>
            <w:r w:rsidR="006E0F63">
              <w:rPr>
                <w:rFonts w:ascii="Arial" w:hAnsi="Arial" w:cs="Arial"/>
                <w:sz w:val="18"/>
                <w:szCs w:val="18"/>
              </w:rPr>
              <w:t xml:space="preserve"> m</w:t>
            </w:r>
          </w:p>
        </w:tc>
        <w:tc>
          <w:tcPr>
            <w:tcW w:w="0" w:type="auto"/>
            <w:tcBorders>
              <w:left w:val="thinThickSmallGap" w:sz="24" w:space="0" w:color="auto"/>
            </w:tcBorders>
            <w:shd w:val="clear" w:color="auto" w:fill="E6E6E6"/>
          </w:tcPr>
          <w:p w14:paraId="2BEA06A8"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18 m</w:t>
            </w:r>
          </w:p>
        </w:tc>
        <w:tc>
          <w:tcPr>
            <w:tcW w:w="0" w:type="auto"/>
            <w:shd w:val="clear" w:color="auto" w:fill="E6E6E6"/>
          </w:tcPr>
          <w:p w14:paraId="4C0E31DF" w14:textId="5E9D5D49"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18.0 m</w:t>
            </w:r>
          </w:p>
        </w:tc>
        <w:tc>
          <w:tcPr>
            <w:tcW w:w="0" w:type="auto"/>
            <w:shd w:val="clear" w:color="auto" w:fill="E6E6E6"/>
          </w:tcPr>
          <w:p w14:paraId="579C25DB"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15.5 m</w:t>
            </w:r>
          </w:p>
        </w:tc>
      </w:tr>
      <w:tr w:rsidR="006E0F63" w:rsidRPr="00901D81" w14:paraId="79C5B84D" w14:textId="77777777" w:rsidTr="001569D4">
        <w:trPr>
          <w:trHeight w:val="200"/>
        </w:trPr>
        <w:tc>
          <w:tcPr>
            <w:tcW w:w="2027" w:type="dxa"/>
          </w:tcPr>
          <w:p w14:paraId="6FA2F3D8" w14:textId="77777777" w:rsidR="006E0F63" w:rsidRPr="00901D81" w:rsidRDefault="006E0F63" w:rsidP="001569D4">
            <w:pPr>
              <w:spacing w:after="0" w:line="240" w:lineRule="auto"/>
              <w:rPr>
                <w:rFonts w:ascii="Arial" w:hAnsi="Arial" w:cs="Arial"/>
                <w:sz w:val="18"/>
                <w:szCs w:val="18"/>
              </w:rPr>
            </w:pPr>
            <w:r w:rsidRPr="00901D81">
              <w:rPr>
                <w:rFonts w:ascii="Arial" w:hAnsi="Arial" w:cs="Arial"/>
                <w:sz w:val="18"/>
                <w:szCs w:val="18"/>
              </w:rPr>
              <w:t>Soft Citrus</w:t>
            </w:r>
          </w:p>
        </w:tc>
        <w:tc>
          <w:tcPr>
            <w:tcW w:w="0" w:type="auto"/>
            <w:shd w:val="clear" w:color="auto" w:fill="CCCCCC"/>
          </w:tcPr>
          <w:p w14:paraId="59718AFF" w14:textId="30D423D2"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0.7 m</w:t>
            </w:r>
          </w:p>
        </w:tc>
        <w:tc>
          <w:tcPr>
            <w:tcW w:w="0" w:type="auto"/>
            <w:tcBorders>
              <w:right w:val="thinThickSmallGap" w:sz="24" w:space="0" w:color="auto"/>
            </w:tcBorders>
            <w:shd w:val="clear" w:color="auto" w:fill="CCCCCC"/>
          </w:tcPr>
          <w:p w14:paraId="73EE3745" w14:textId="72E4DD97"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1.3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14CB3BB8" w14:textId="57E66D90"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 xml:space="preserve">1.4 m </w:t>
            </w:r>
          </w:p>
        </w:tc>
        <w:tc>
          <w:tcPr>
            <w:tcW w:w="0" w:type="auto"/>
            <w:tcBorders>
              <w:left w:val="thinThickSmallGap" w:sz="24" w:space="0" w:color="auto"/>
              <w:right w:val="thinThickSmallGap" w:sz="24" w:space="0" w:color="auto"/>
            </w:tcBorders>
            <w:shd w:val="clear" w:color="auto" w:fill="E6E6E6"/>
          </w:tcPr>
          <w:p w14:paraId="53BEB9D0"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0.4 m</w:t>
            </w:r>
          </w:p>
        </w:tc>
        <w:tc>
          <w:tcPr>
            <w:tcW w:w="0" w:type="auto"/>
            <w:tcBorders>
              <w:left w:val="thinThickSmallGap" w:sz="24" w:space="0" w:color="auto"/>
              <w:right w:val="thinThickSmallGap" w:sz="24" w:space="0" w:color="auto"/>
            </w:tcBorders>
            <w:shd w:val="clear" w:color="auto" w:fill="E6E6E6"/>
          </w:tcPr>
          <w:p w14:paraId="56EB54B3"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0.5 m</w:t>
            </w:r>
          </w:p>
        </w:tc>
        <w:tc>
          <w:tcPr>
            <w:tcW w:w="0" w:type="auto"/>
            <w:tcBorders>
              <w:left w:val="thinThickSmallGap" w:sz="24" w:space="0" w:color="auto"/>
            </w:tcBorders>
            <w:shd w:val="clear" w:color="auto" w:fill="E6E6E6"/>
          </w:tcPr>
          <w:p w14:paraId="1D1D45B3"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14:paraId="0707A25F" w14:textId="7727AEBB"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30.5 m</w:t>
            </w:r>
          </w:p>
        </w:tc>
        <w:tc>
          <w:tcPr>
            <w:tcW w:w="0" w:type="auto"/>
            <w:shd w:val="clear" w:color="auto" w:fill="E6E6E6"/>
          </w:tcPr>
          <w:p w14:paraId="4AECCEC8"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23.6 m</w:t>
            </w:r>
          </w:p>
        </w:tc>
      </w:tr>
      <w:tr w:rsidR="006E0F63" w:rsidRPr="00901D81" w14:paraId="29BD3606" w14:textId="77777777" w:rsidTr="001569D4">
        <w:trPr>
          <w:trHeight w:val="180"/>
        </w:trPr>
        <w:tc>
          <w:tcPr>
            <w:tcW w:w="2027" w:type="dxa"/>
          </w:tcPr>
          <w:p w14:paraId="313C6686" w14:textId="77777777" w:rsidR="006E0F63" w:rsidRPr="00901D81" w:rsidRDefault="006E0F63" w:rsidP="001569D4">
            <w:pPr>
              <w:spacing w:after="0" w:line="240" w:lineRule="auto"/>
              <w:rPr>
                <w:rFonts w:ascii="Arial" w:hAnsi="Arial" w:cs="Arial"/>
                <w:sz w:val="18"/>
                <w:szCs w:val="18"/>
                <w:lang w:val="fr-FR"/>
              </w:rPr>
            </w:pPr>
            <w:proofErr w:type="spellStart"/>
            <w:r w:rsidRPr="00901D81">
              <w:rPr>
                <w:rFonts w:ascii="Arial" w:hAnsi="Arial" w:cs="Arial"/>
                <w:sz w:val="18"/>
                <w:szCs w:val="18"/>
                <w:lang w:val="fr-FR"/>
              </w:rPr>
              <w:t>Lemons</w:t>
            </w:r>
            <w:proofErr w:type="spellEnd"/>
          </w:p>
        </w:tc>
        <w:tc>
          <w:tcPr>
            <w:tcW w:w="0" w:type="auto"/>
            <w:shd w:val="clear" w:color="auto" w:fill="CCCCCC"/>
          </w:tcPr>
          <w:p w14:paraId="7535E297" w14:textId="556F053B"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2.5 m</w:t>
            </w:r>
          </w:p>
        </w:tc>
        <w:tc>
          <w:tcPr>
            <w:tcW w:w="0" w:type="auto"/>
            <w:tcBorders>
              <w:right w:val="thinThickSmallGap" w:sz="24" w:space="0" w:color="auto"/>
            </w:tcBorders>
            <w:shd w:val="clear" w:color="auto" w:fill="CCCCCC"/>
          </w:tcPr>
          <w:p w14:paraId="2F42B8BD" w14:textId="60C9ECB5"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6.0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DB5E422" w14:textId="249BC259"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6.1 m</w:t>
            </w:r>
          </w:p>
        </w:tc>
        <w:tc>
          <w:tcPr>
            <w:tcW w:w="0" w:type="auto"/>
            <w:tcBorders>
              <w:left w:val="thinThickSmallGap" w:sz="24" w:space="0" w:color="auto"/>
              <w:right w:val="thinThickSmallGap" w:sz="24" w:space="0" w:color="auto"/>
            </w:tcBorders>
            <w:shd w:val="clear" w:color="auto" w:fill="E6E6E6"/>
          </w:tcPr>
          <w:p w14:paraId="35FDAC0B" w14:textId="77777777" w:rsidR="006E0F63" w:rsidRPr="00901D81" w:rsidRDefault="006E0F63" w:rsidP="001569D4">
            <w:pPr>
              <w:spacing w:after="0" w:line="240" w:lineRule="auto"/>
              <w:jc w:val="right"/>
              <w:rPr>
                <w:rFonts w:ascii="Arial" w:hAnsi="Arial" w:cs="Arial"/>
                <w:sz w:val="18"/>
                <w:szCs w:val="18"/>
                <w:lang w:val="fr-FR"/>
              </w:rPr>
            </w:pPr>
            <w:r>
              <w:rPr>
                <w:rFonts w:ascii="Arial" w:hAnsi="Arial" w:cs="Arial"/>
                <w:sz w:val="18"/>
                <w:szCs w:val="18"/>
                <w:lang w:val="fr-FR"/>
              </w:rPr>
              <w:t>4.7 m</w:t>
            </w:r>
          </w:p>
        </w:tc>
        <w:tc>
          <w:tcPr>
            <w:tcW w:w="0" w:type="auto"/>
            <w:tcBorders>
              <w:left w:val="thinThickSmallGap" w:sz="24" w:space="0" w:color="auto"/>
              <w:right w:val="thinThickSmallGap" w:sz="24" w:space="0" w:color="auto"/>
            </w:tcBorders>
            <w:shd w:val="clear" w:color="auto" w:fill="E6E6E6"/>
          </w:tcPr>
          <w:p w14:paraId="5FBDE49B" w14:textId="1F94285C" w:rsidR="006E0F63" w:rsidRPr="00901D81" w:rsidRDefault="00825440" w:rsidP="001569D4">
            <w:pPr>
              <w:spacing w:after="0" w:line="240" w:lineRule="auto"/>
              <w:jc w:val="right"/>
              <w:rPr>
                <w:rFonts w:ascii="Arial" w:hAnsi="Arial" w:cs="Arial"/>
                <w:sz w:val="18"/>
                <w:szCs w:val="18"/>
                <w:lang w:val="fr-FR"/>
              </w:rPr>
            </w:pPr>
            <w:r>
              <w:rPr>
                <w:rFonts w:ascii="Arial" w:hAnsi="Arial" w:cs="Arial"/>
                <w:sz w:val="18"/>
                <w:szCs w:val="18"/>
                <w:lang w:val="fr-FR"/>
              </w:rPr>
              <w:t>3.6</w:t>
            </w:r>
            <w:r w:rsidR="006E0F63">
              <w:rPr>
                <w:rFonts w:ascii="Arial" w:hAnsi="Arial" w:cs="Arial"/>
                <w:sz w:val="18"/>
                <w:szCs w:val="18"/>
                <w:lang w:val="fr-FR"/>
              </w:rPr>
              <w:t xml:space="preserve"> m</w:t>
            </w:r>
          </w:p>
        </w:tc>
        <w:tc>
          <w:tcPr>
            <w:tcW w:w="0" w:type="auto"/>
            <w:tcBorders>
              <w:left w:val="thinThickSmallGap" w:sz="24" w:space="0" w:color="auto"/>
            </w:tcBorders>
            <w:shd w:val="clear" w:color="auto" w:fill="E6E6E6"/>
          </w:tcPr>
          <w:p w14:paraId="12F7FA82" w14:textId="77777777" w:rsidR="006E0F63" w:rsidRPr="00901D81" w:rsidRDefault="006E0F63" w:rsidP="001569D4">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4E520BCB" w14:textId="0816BB5D" w:rsidR="006E0F63" w:rsidRPr="00901D81" w:rsidRDefault="00825440" w:rsidP="00825440">
            <w:pPr>
              <w:spacing w:after="0" w:line="240" w:lineRule="auto"/>
              <w:jc w:val="right"/>
              <w:rPr>
                <w:rFonts w:ascii="Arial" w:hAnsi="Arial" w:cs="Arial"/>
                <w:sz w:val="18"/>
                <w:szCs w:val="18"/>
                <w:lang w:val="fr-FR"/>
              </w:rPr>
            </w:pPr>
            <w:r>
              <w:rPr>
                <w:rFonts w:ascii="Arial" w:hAnsi="Arial" w:cs="Arial"/>
                <w:sz w:val="18"/>
                <w:szCs w:val="18"/>
                <w:lang w:val="fr-FR"/>
              </w:rPr>
              <w:t>30.2 m</w:t>
            </w:r>
          </w:p>
        </w:tc>
        <w:tc>
          <w:tcPr>
            <w:tcW w:w="0" w:type="auto"/>
            <w:shd w:val="clear" w:color="auto" w:fill="E6E6E6"/>
          </w:tcPr>
          <w:p w14:paraId="3C9B37EC" w14:textId="77777777" w:rsidR="006E0F63" w:rsidRPr="00901D81" w:rsidRDefault="006E0F63" w:rsidP="001569D4">
            <w:pPr>
              <w:spacing w:after="0" w:line="240" w:lineRule="auto"/>
              <w:jc w:val="center"/>
              <w:rPr>
                <w:rFonts w:ascii="Arial" w:hAnsi="Arial" w:cs="Arial"/>
                <w:sz w:val="18"/>
                <w:szCs w:val="18"/>
                <w:lang w:val="fr-FR"/>
              </w:rPr>
            </w:pPr>
            <w:r>
              <w:rPr>
                <w:rFonts w:ascii="Arial" w:hAnsi="Arial" w:cs="Arial"/>
                <w:sz w:val="18"/>
                <w:szCs w:val="18"/>
                <w:lang w:val="fr-FR"/>
              </w:rPr>
              <w:t>29.6 m</w:t>
            </w:r>
          </w:p>
        </w:tc>
      </w:tr>
      <w:tr w:rsidR="006E0F63" w:rsidRPr="00901D81" w14:paraId="3B7E1C5E" w14:textId="77777777" w:rsidTr="001569D4">
        <w:trPr>
          <w:trHeight w:val="200"/>
        </w:trPr>
        <w:tc>
          <w:tcPr>
            <w:tcW w:w="2027" w:type="dxa"/>
          </w:tcPr>
          <w:p w14:paraId="5ACE3D20" w14:textId="77777777" w:rsidR="006E0F63" w:rsidRPr="00901D81" w:rsidRDefault="006E0F63" w:rsidP="001569D4">
            <w:pPr>
              <w:spacing w:after="0" w:line="240" w:lineRule="auto"/>
              <w:rPr>
                <w:rFonts w:ascii="Arial" w:hAnsi="Arial" w:cs="Arial"/>
                <w:sz w:val="18"/>
                <w:szCs w:val="18"/>
                <w:lang w:val="fr-FR"/>
              </w:rPr>
            </w:pPr>
            <w:r w:rsidRPr="00901D81">
              <w:rPr>
                <w:rFonts w:ascii="Arial" w:hAnsi="Arial" w:cs="Arial"/>
                <w:sz w:val="18"/>
                <w:szCs w:val="18"/>
                <w:lang w:val="fr-FR"/>
              </w:rPr>
              <w:t>Navels</w:t>
            </w:r>
          </w:p>
        </w:tc>
        <w:tc>
          <w:tcPr>
            <w:tcW w:w="0" w:type="auto"/>
            <w:shd w:val="clear" w:color="auto" w:fill="CCCCCC"/>
          </w:tcPr>
          <w:p w14:paraId="350BD043" w14:textId="1F288F63"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0.1 m</w:t>
            </w:r>
          </w:p>
        </w:tc>
        <w:tc>
          <w:tcPr>
            <w:tcW w:w="0" w:type="auto"/>
            <w:tcBorders>
              <w:right w:val="thinThickSmallGap" w:sz="24" w:space="0" w:color="auto"/>
            </w:tcBorders>
            <w:shd w:val="clear" w:color="auto" w:fill="CCCCCC"/>
          </w:tcPr>
          <w:p w14:paraId="214179CD" w14:textId="6F477C33"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0.1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67EA70AE" w14:textId="61B589EE" w:rsidR="006E0F63" w:rsidRPr="00901D81" w:rsidRDefault="002552C3" w:rsidP="001569D4">
            <w:pPr>
              <w:spacing w:after="0" w:line="240" w:lineRule="auto"/>
              <w:jc w:val="right"/>
              <w:rPr>
                <w:rFonts w:ascii="Arial" w:hAnsi="Arial" w:cs="Arial"/>
                <w:sz w:val="18"/>
                <w:szCs w:val="18"/>
                <w:lang w:val="fr-FR"/>
              </w:rPr>
            </w:pPr>
            <w:r>
              <w:rPr>
                <w:rFonts w:ascii="Arial" w:hAnsi="Arial" w:cs="Arial"/>
                <w:sz w:val="18"/>
                <w:szCs w:val="18"/>
                <w:lang w:val="fr-FR"/>
              </w:rPr>
              <w:t>0.1 m</w:t>
            </w:r>
          </w:p>
        </w:tc>
        <w:tc>
          <w:tcPr>
            <w:tcW w:w="0" w:type="auto"/>
            <w:tcBorders>
              <w:left w:val="thinThickSmallGap" w:sz="24" w:space="0" w:color="auto"/>
              <w:right w:val="thinThickSmallGap" w:sz="24" w:space="0" w:color="auto"/>
            </w:tcBorders>
            <w:shd w:val="clear" w:color="auto" w:fill="E6E6E6"/>
          </w:tcPr>
          <w:p w14:paraId="27F1C0CB" w14:textId="77777777" w:rsidR="006E0F63" w:rsidRPr="00901D81" w:rsidRDefault="006E0F63" w:rsidP="001569D4">
            <w:pPr>
              <w:spacing w:after="0" w:line="240" w:lineRule="auto"/>
              <w:jc w:val="right"/>
              <w:rPr>
                <w:rFonts w:ascii="Arial" w:hAnsi="Arial" w:cs="Arial"/>
                <w:sz w:val="18"/>
                <w:szCs w:val="18"/>
                <w:lang w:val="fr-FR"/>
              </w:rPr>
            </w:pPr>
            <w:r>
              <w:rPr>
                <w:rFonts w:ascii="Arial" w:hAnsi="Arial" w:cs="Arial"/>
                <w:sz w:val="18"/>
                <w:szCs w:val="18"/>
                <w:lang w:val="fr-FR"/>
              </w:rPr>
              <w:t>-</w:t>
            </w:r>
          </w:p>
        </w:tc>
        <w:tc>
          <w:tcPr>
            <w:tcW w:w="0" w:type="auto"/>
            <w:tcBorders>
              <w:left w:val="thinThickSmallGap" w:sz="24" w:space="0" w:color="auto"/>
              <w:right w:val="thinThickSmallGap" w:sz="24" w:space="0" w:color="auto"/>
            </w:tcBorders>
            <w:shd w:val="clear" w:color="auto" w:fill="E6E6E6"/>
          </w:tcPr>
          <w:p w14:paraId="007DEFB6" w14:textId="77777777" w:rsidR="006E0F63" w:rsidRPr="00901D81" w:rsidRDefault="006E0F63" w:rsidP="001569D4">
            <w:pPr>
              <w:spacing w:after="0" w:line="240" w:lineRule="auto"/>
              <w:jc w:val="right"/>
              <w:rPr>
                <w:rFonts w:ascii="Arial" w:hAnsi="Arial" w:cs="Arial"/>
                <w:sz w:val="18"/>
                <w:szCs w:val="18"/>
                <w:lang w:val="fr-FR"/>
              </w:rPr>
            </w:pPr>
            <w:r>
              <w:rPr>
                <w:rFonts w:ascii="Arial" w:hAnsi="Arial" w:cs="Arial"/>
                <w:sz w:val="18"/>
                <w:szCs w:val="18"/>
                <w:lang w:val="fr-FR"/>
              </w:rPr>
              <w:t>-</w:t>
            </w:r>
          </w:p>
        </w:tc>
        <w:tc>
          <w:tcPr>
            <w:tcW w:w="0" w:type="auto"/>
            <w:tcBorders>
              <w:left w:val="thinThickSmallGap" w:sz="24" w:space="0" w:color="auto"/>
            </w:tcBorders>
            <w:shd w:val="clear" w:color="auto" w:fill="E6E6E6"/>
          </w:tcPr>
          <w:p w14:paraId="7A61C2ED" w14:textId="77777777" w:rsidR="006E0F63" w:rsidRPr="00901D81" w:rsidRDefault="006E0F63" w:rsidP="001569D4">
            <w:pPr>
              <w:spacing w:after="0" w:line="240" w:lineRule="auto"/>
              <w:jc w:val="right"/>
              <w:rPr>
                <w:rFonts w:ascii="Arial" w:hAnsi="Arial" w:cs="Arial"/>
                <w:sz w:val="18"/>
                <w:szCs w:val="18"/>
                <w:lang w:val="fr-FR"/>
              </w:rPr>
            </w:pPr>
            <w:r>
              <w:rPr>
                <w:rFonts w:ascii="Arial" w:hAnsi="Arial" w:cs="Arial"/>
                <w:sz w:val="18"/>
                <w:szCs w:val="18"/>
                <w:lang w:val="fr-FR"/>
              </w:rPr>
              <w:t>26.3 m</w:t>
            </w:r>
          </w:p>
        </w:tc>
        <w:tc>
          <w:tcPr>
            <w:tcW w:w="0" w:type="auto"/>
            <w:shd w:val="clear" w:color="auto" w:fill="E6E6E6"/>
          </w:tcPr>
          <w:p w14:paraId="137FE594" w14:textId="6B1E8B37" w:rsidR="006E0F63" w:rsidRPr="00901D81" w:rsidRDefault="00825440" w:rsidP="001569D4">
            <w:pPr>
              <w:spacing w:after="0" w:line="240" w:lineRule="auto"/>
              <w:jc w:val="right"/>
              <w:rPr>
                <w:rFonts w:ascii="Arial" w:hAnsi="Arial" w:cs="Arial"/>
                <w:sz w:val="18"/>
                <w:szCs w:val="18"/>
                <w:lang w:val="fr-FR"/>
              </w:rPr>
            </w:pPr>
            <w:r>
              <w:rPr>
                <w:rFonts w:ascii="Arial" w:hAnsi="Arial" w:cs="Arial"/>
                <w:sz w:val="18"/>
                <w:szCs w:val="18"/>
                <w:lang w:val="fr-FR"/>
              </w:rPr>
              <w:t>26.2 m</w:t>
            </w:r>
          </w:p>
        </w:tc>
        <w:tc>
          <w:tcPr>
            <w:tcW w:w="0" w:type="auto"/>
            <w:shd w:val="clear" w:color="auto" w:fill="E6E6E6"/>
          </w:tcPr>
          <w:p w14:paraId="2C9717F0" w14:textId="77777777" w:rsidR="006E0F63" w:rsidRPr="00901D81" w:rsidRDefault="006E0F63" w:rsidP="001569D4">
            <w:pPr>
              <w:spacing w:after="0" w:line="240" w:lineRule="auto"/>
              <w:jc w:val="center"/>
              <w:rPr>
                <w:rFonts w:ascii="Arial" w:hAnsi="Arial" w:cs="Arial"/>
                <w:sz w:val="18"/>
                <w:szCs w:val="18"/>
                <w:lang w:val="fr-FR"/>
              </w:rPr>
            </w:pPr>
            <w:r>
              <w:rPr>
                <w:rFonts w:ascii="Arial" w:hAnsi="Arial" w:cs="Arial"/>
                <w:sz w:val="18"/>
                <w:szCs w:val="18"/>
                <w:lang w:val="fr-FR"/>
              </w:rPr>
              <w:t>26.2 m</w:t>
            </w:r>
          </w:p>
        </w:tc>
      </w:tr>
      <w:tr w:rsidR="006E0F63" w:rsidRPr="00901D81" w14:paraId="2A7D4421" w14:textId="77777777" w:rsidTr="001569D4">
        <w:trPr>
          <w:trHeight w:val="245"/>
        </w:trPr>
        <w:tc>
          <w:tcPr>
            <w:tcW w:w="2027" w:type="dxa"/>
          </w:tcPr>
          <w:p w14:paraId="7013153E" w14:textId="77777777" w:rsidR="006E0F63" w:rsidRPr="00901D81" w:rsidRDefault="006E0F63" w:rsidP="001569D4">
            <w:pPr>
              <w:spacing w:after="0" w:line="240" w:lineRule="auto"/>
              <w:rPr>
                <w:rFonts w:ascii="Arial" w:hAnsi="Arial" w:cs="Arial"/>
                <w:sz w:val="18"/>
                <w:szCs w:val="18"/>
                <w:lang w:val="fr-FR"/>
              </w:rPr>
            </w:pPr>
            <w:r w:rsidRPr="00901D81">
              <w:rPr>
                <w:rFonts w:ascii="Arial" w:hAnsi="Arial" w:cs="Arial"/>
                <w:sz w:val="18"/>
                <w:szCs w:val="18"/>
                <w:lang w:val="fr-FR"/>
              </w:rPr>
              <w:t>Valencia</w:t>
            </w:r>
          </w:p>
        </w:tc>
        <w:tc>
          <w:tcPr>
            <w:tcW w:w="0" w:type="auto"/>
            <w:shd w:val="clear" w:color="auto" w:fill="CCCCCC"/>
          </w:tcPr>
          <w:p w14:paraId="2722D639" w14:textId="72119277"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0.2 m</w:t>
            </w:r>
          </w:p>
        </w:tc>
        <w:tc>
          <w:tcPr>
            <w:tcW w:w="0" w:type="auto"/>
            <w:tcBorders>
              <w:right w:val="thinThickSmallGap" w:sz="24" w:space="0" w:color="auto"/>
            </w:tcBorders>
            <w:shd w:val="clear" w:color="auto" w:fill="CCCCCC"/>
          </w:tcPr>
          <w:p w14:paraId="7E81155B" w14:textId="2474A62B"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91D3D4B" w14:textId="0C796A7F"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14:paraId="31C53C31"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right w:val="thinThickSmallGap" w:sz="24" w:space="0" w:color="auto"/>
            </w:tcBorders>
            <w:shd w:val="clear" w:color="auto" w:fill="E6E6E6"/>
          </w:tcPr>
          <w:p w14:paraId="76A2E463"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w:t>
            </w:r>
          </w:p>
        </w:tc>
        <w:tc>
          <w:tcPr>
            <w:tcW w:w="0" w:type="auto"/>
            <w:tcBorders>
              <w:left w:val="thinThickSmallGap" w:sz="24" w:space="0" w:color="auto"/>
            </w:tcBorders>
            <w:shd w:val="clear" w:color="auto" w:fill="E6E6E6"/>
          </w:tcPr>
          <w:p w14:paraId="622099D5"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58 m</w:t>
            </w:r>
          </w:p>
        </w:tc>
        <w:tc>
          <w:tcPr>
            <w:tcW w:w="0" w:type="auto"/>
            <w:shd w:val="clear" w:color="auto" w:fill="E6E6E6"/>
          </w:tcPr>
          <w:p w14:paraId="17BA6190" w14:textId="65EBFB89" w:rsidR="006E0F63" w:rsidRPr="00901D81" w:rsidRDefault="00825440" w:rsidP="001569D4">
            <w:pPr>
              <w:spacing w:after="0" w:line="240" w:lineRule="auto"/>
              <w:jc w:val="right"/>
              <w:rPr>
                <w:rFonts w:ascii="Arial" w:hAnsi="Arial" w:cs="Arial"/>
                <w:sz w:val="18"/>
                <w:szCs w:val="18"/>
              </w:rPr>
            </w:pPr>
            <w:r>
              <w:rPr>
                <w:rFonts w:ascii="Arial" w:hAnsi="Arial" w:cs="Arial"/>
                <w:sz w:val="18"/>
                <w:szCs w:val="18"/>
              </w:rPr>
              <w:t>58.0 m</w:t>
            </w:r>
          </w:p>
        </w:tc>
        <w:tc>
          <w:tcPr>
            <w:tcW w:w="0" w:type="auto"/>
            <w:shd w:val="clear" w:color="auto" w:fill="E6E6E6"/>
          </w:tcPr>
          <w:p w14:paraId="643D9B57"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55.1 m</w:t>
            </w:r>
          </w:p>
        </w:tc>
      </w:tr>
      <w:tr w:rsidR="006E0F63" w:rsidRPr="00901D81" w14:paraId="7E4B81F2" w14:textId="77777777" w:rsidTr="001569D4">
        <w:trPr>
          <w:trHeight w:val="214"/>
        </w:trPr>
        <w:tc>
          <w:tcPr>
            <w:tcW w:w="2027" w:type="dxa"/>
          </w:tcPr>
          <w:p w14:paraId="22AB7291" w14:textId="77777777" w:rsidR="006E0F63" w:rsidRPr="00901D81" w:rsidRDefault="006E0F63" w:rsidP="001569D4">
            <w:pPr>
              <w:spacing w:after="0" w:line="240" w:lineRule="auto"/>
              <w:rPr>
                <w:rFonts w:ascii="Arial" w:hAnsi="Arial" w:cs="Arial"/>
                <w:sz w:val="18"/>
                <w:szCs w:val="18"/>
              </w:rPr>
            </w:pPr>
            <w:r>
              <w:rPr>
                <w:rFonts w:ascii="Arial" w:hAnsi="Arial" w:cs="Arial"/>
                <w:sz w:val="18"/>
                <w:szCs w:val="18"/>
              </w:rPr>
              <w:t>Total</w:t>
            </w:r>
          </w:p>
        </w:tc>
        <w:tc>
          <w:tcPr>
            <w:tcW w:w="0" w:type="auto"/>
            <w:shd w:val="clear" w:color="auto" w:fill="CCCCCC"/>
          </w:tcPr>
          <w:p w14:paraId="2656F094" w14:textId="272CE6B4"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4.6 m</w:t>
            </w:r>
          </w:p>
        </w:tc>
        <w:tc>
          <w:tcPr>
            <w:tcW w:w="0" w:type="auto"/>
            <w:tcBorders>
              <w:right w:val="thinThickSmallGap" w:sz="24" w:space="0" w:color="auto"/>
            </w:tcBorders>
            <w:shd w:val="clear" w:color="auto" w:fill="CCCCCC"/>
          </w:tcPr>
          <w:p w14:paraId="705837AD" w14:textId="1635BB0F"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9.0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35CE6DB" w14:textId="5D234530" w:rsidR="006E0F63" w:rsidRPr="00901D81" w:rsidRDefault="002552C3" w:rsidP="001569D4">
            <w:pPr>
              <w:spacing w:after="0" w:line="240" w:lineRule="auto"/>
              <w:jc w:val="right"/>
              <w:rPr>
                <w:rFonts w:ascii="Arial" w:hAnsi="Arial" w:cs="Arial"/>
                <w:sz w:val="18"/>
                <w:szCs w:val="18"/>
              </w:rPr>
            </w:pPr>
            <w:r>
              <w:rPr>
                <w:rFonts w:ascii="Arial" w:hAnsi="Arial" w:cs="Arial"/>
                <w:sz w:val="18"/>
                <w:szCs w:val="18"/>
              </w:rPr>
              <w:t>10.6 m</w:t>
            </w:r>
          </w:p>
        </w:tc>
        <w:tc>
          <w:tcPr>
            <w:tcW w:w="0" w:type="auto"/>
            <w:tcBorders>
              <w:left w:val="thinThickSmallGap" w:sz="24" w:space="0" w:color="auto"/>
              <w:right w:val="thinThickSmallGap" w:sz="24" w:space="0" w:color="auto"/>
            </w:tcBorders>
            <w:shd w:val="clear" w:color="auto" w:fill="E6E6E6"/>
          </w:tcPr>
          <w:p w14:paraId="1E110E8B"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5.5 m</w:t>
            </w:r>
          </w:p>
        </w:tc>
        <w:tc>
          <w:tcPr>
            <w:tcW w:w="0" w:type="auto"/>
            <w:tcBorders>
              <w:left w:val="thinThickSmallGap" w:sz="24" w:space="0" w:color="auto"/>
              <w:right w:val="thinThickSmallGap" w:sz="24" w:space="0" w:color="auto"/>
            </w:tcBorders>
            <w:shd w:val="clear" w:color="auto" w:fill="E6E6E6"/>
          </w:tcPr>
          <w:p w14:paraId="0F6799B4" w14:textId="613F8030" w:rsidR="006E0F63" w:rsidRPr="00901D81" w:rsidRDefault="00825440" w:rsidP="001569D4">
            <w:pPr>
              <w:spacing w:after="0" w:line="240" w:lineRule="auto"/>
              <w:jc w:val="right"/>
              <w:rPr>
                <w:rFonts w:ascii="Arial" w:hAnsi="Arial" w:cs="Arial"/>
                <w:sz w:val="18"/>
                <w:szCs w:val="18"/>
              </w:rPr>
            </w:pPr>
            <w:r>
              <w:rPr>
                <w:rFonts w:ascii="Arial" w:hAnsi="Arial" w:cs="Arial"/>
                <w:sz w:val="18"/>
                <w:szCs w:val="18"/>
              </w:rPr>
              <w:t>4.6</w:t>
            </w:r>
            <w:r w:rsidR="006E0F63">
              <w:rPr>
                <w:rFonts w:ascii="Arial" w:hAnsi="Arial" w:cs="Arial"/>
                <w:sz w:val="18"/>
                <w:szCs w:val="18"/>
              </w:rPr>
              <w:t xml:space="preserve"> m</w:t>
            </w:r>
          </w:p>
        </w:tc>
        <w:tc>
          <w:tcPr>
            <w:tcW w:w="0" w:type="auto"/>
            <w:tcBorders>
              <w:left w:val="thinThickSmallGap" w:sz="24" w:space="0" w:color="auto"/>
            </w:tcBorders>
            <w:shd w:val="clear" w:color="auto" w:fill="E6E6E6"/>
          </w:tcPr>
          <w:p w14:paraId="14805281" w14:textId="77777777" w:rsidR="006E0F63" w:rsidRPr="00901D81" w:rsidRDefault="006E0F63" w:rsidP="001569D4">
            <w:pPr>
              <w:spacing w:after="0" w:line="240" w:lineRule="auto"/>
              <w:jc w:val="right"/>
              <w:rPr>
                <w:rFonts w:ascii="Arial" w:hAnsi="Arial" w:cs="Arial"/>
                <w:sz w:val="18"/>
                <w:szCs w:val="18"/>
              </w:rPr>
            </w:pPr>
            <w:r>
              <w:rPr>
                <w:rFonts w:ascii="Arial" w:hAnsi="Arial" w:cs="Arial"/>
                <w:sz w:val="18"/>
                <w:szCs w:val="18"/>
              </w:rPr>
              <w:t>163 m</w:t>
            </w:r>
          </w:p>
        </w:tc>
        <w:tc>
          <w:tcPr>
            <w:tcW w:w="0" w:type="auto"/>
            <w:shd w:val="clear" w:color="auto" w:fill="E6E6E6"/>
          </w:tcPr>
          <w:p w14:paraId="19E9D69D" w14:textId="0FE8F1FA" w:rsidR="006E0F63" w:rsidRPr="00901D81" w:rsidRDefault="00825440" w:rsidP="001569D4">
            <w:pPr>
              <w:spacing w:after="0" w:line="240" w:lineRule="auto"/>
              <w:jc w:val="right"/>
              <w:rPr>
                <w:rFonts w:ascii="Arial" w:hAnsi="Arial" w:cs="Arial"/>
                <w:sz w:val="18"/>
                <w:szCs w:val="18"/>
              </w:rPr>
            </w:pPr>
            <w:r>
              <w:rPr>
                <w:rFonts w:ascii="Arial" w:hAnsi="Arial" w:cs="Arial"/>
                <w:sz w:val="18"/>
                <w:szCs w:val="18"/>
              </w:rPr>
              <w:t>163 m</w:t>
            </w:r>
          </w:p>
        </w:tc>
        <w:tc>
          <w:tcPr>
            <w:tcW w:w="0" w:type="auto"/>
            <w:shd w:val="clear" w:color="auto" w:fill="E6E6E6"/>
          </w:tcPr>
          <w:p w14:paraId="3ADAFDE8" w14:textId="77777777" w:rsidR="006E0F63" w:rsidRPr="00901D81" w:rsidRDefault="006E0F63" w:rsidP="001569D4">
            <w:pPr>
              <w:spacing w:after="0" w:line="240" w:lineRule="auto"/>
              <w:jc w:val="center"/>
              <w:rPr>
                <w:rFonts w:ascii="Arial" w:hAnsi="Arial" w:cs="Arial"/>
                <w:sz w:val="18"/>
                <w:szCs w:val="18"/>
              </w:rPr>
            </w:pPr>
            <w:r>
              <w:rPr>
                <w:rFonts w:ascii="Arial" w:hAnsi="Arial" w:cs="Arial"/>
                <w:sz w:val="18"/>
                <w:szCs w:val="18"/>
              </w:rPr>
              <w:t>150 m</w:t>
            </w:r>
          </w:p>
        </w:tc>
      </w:tr>
      <w:tr w:rsidR="006E0F63" w:rsidRPr="00901D81" w14:paraId="491A5C21" w14:textId="77777777" w:rsidTr="001569D4">
        <w:trPr>
          <w:trHeight w:val="214"/>
        </w:trPr>
        <w:tc>
          <w:tcPr>
            <w:tcW w:w="2027" w:type="dxa"/>
          </w:tcPr>
          <w:p w14:paraId="31C52ADC" w14:textId="77777777" w:rsidR="006E0F63" w:rsidRDefault="006E0F63" w:rsidP="001569D4">
            <w:pPr>
              <w:spacing w:after="0" w:line="240" w:lineRule="auto"/>
              <w:rPr>
                <w:rFonts w:ascii="Arial" w:hAnsi="Arial" w:cs="Arial"/>
                <w:sz w:val="18"/>
                <w:szCs w:val="18"/>
              </w:rPr>
            </w:pPr>
          </w:p>
        </w:tc>
        <w:tc>
          <w:tcPr>
            <w:tcW w:w="0" w:type="auto"/>
            <w:shd w:val="clear" w:color="auto" w:fill="CCCCCC"/>
          </w:tcPr>
          <w:p w14:paraId="7409FCD4" w14:textId="77777777" w:rsidR="006E0F63" w:rsidRPr="00901D81" w:rsidRDefault="006E0F63" w:rsidP="001569D4">
            <w:pPr>
              <w:spacing w:after="0" w:line="240" w:lineRule="auto"/>
              <w:jc w:val="right"/>
              <w:rPr>
                <w:rFonts w:ascii="Arial" w:hAnsi="Arial" w:cs="Arial"/>
                <w:sz w:val="18"/>
                <w:szCs w:val="18"/>
              </w:rPr>
            </w:pPr>
          </w:p>
        </w:tc>
        <w:tc>
          <w:tcPr>
            <w:tcW w:w="0" w:type="auto"/>
            <w:tcBorders>
              <w:right w:val="thinThickSmallGap" w:sz="24" w:space="0" w:color="auto"/>
            </w:tcBorders>
            <w:shd w:val="clear" w:color="auto" w:fill="CCCCCC"/>
          </w:tcPr>
          <w:p w14:paraId="3E355916" w14:textId="77777777" w:rsidR="006E0F63" w:rsidRPr="00901D81" w:rsidRDefault="006E0F63" w:rsidP="001569D4">
            <w:pPr>
              <w:spacing w:after="0" w:line="240" w:lineRule="auto"/>
              <w:jc w:val="right"/>
              <w:rPr>
                <w:rFonts w:ascii="Arial" w:hAnsi="Arial" w:cs="Arial"/>
                <w:sz w:val="18"/>
                <w:szCs w:val="18"/>
              </w:rPr>
            </w:pPr>
          </w:p>
        </w:tc>
        <w:tc>
          <w:tcPr>
            <w:tcW w:w="0" w:type="auto"/>
            <w:tcBorders>
              <w:top w:val="single" w:sz="4" w:space="0" w:color="auto"/>
              <w:left w:val="thinThickSmallGap" w:sz="24" w:space="0" w:color="auto"/>
              <w:bottom w:val="thinThickSmallGap" w:sz="24" w:space="0" w:color="auto"/>
              <w:right w:val="thinThickSmallGap" w:sz="24" w:space="0" w:color="auto"/>
            </w:tcBorders>
            <w:shd w:val="clear" w:color="auto" w:fill="CCCCCC"/>
          </w:tcPr>
          <w:p w14:paraId="1FA77570" w14:textId="77777777" w:rsidR="006E0F63" w:rsidRPr="00901D81" w:rsidRDefault="006E0F63" w:rsidP="001569D4">
            <w:pPr>
              <w:spacing w:after="0" w:line="240" w:lineRule="auto"/>
              <w:jc w:val="right"/>
              <w:rPr>
                <w:rFonts w:ascii="Arial" w:hAnsi="Arial" w:cs="Arial"/>
                <w:sz w:val="18"/>
                <w:szCs w:val="18"/>
              </w:rPr>
            </w:pPr>
          </w:p>
        </w:tc>
        <w:tc>
          <w:tcPr>
            <w:tcW w:w="0" w:type="auto"/>
            <w:tcBorders>
              <w:left w:val="thinThickSmallGap" w:sz="24" w:space="0" w:color="auto"/>
              <w:right w:val="thinThickSmallGap" w:sz="24" w:space="0" w:color="auto"/>
            </w:tcBorders>
            <w:shd w:val="clear" w:color="auto" w:fill="E6E6E6"/>
          </w:tcPr>
          <w:p w14:paraId="7651185C" w14:textId="77777777" w:rsidR="006E0F63" w:rsidRPr="00901D81" w:rsidRDefault="006E0F63" w:rsidP="001569D4">
            <w:pPr>
              <w:spacing w:after="0" w:line="240" w:lineRule="auto"/>
              <w:jc w:val="right"/>
              <w:rPr>
                <w:rFonts w:ascii="Arial" w:hAnsi="Arial" w:cs="Arial"/>
                <w:sz w:val="18"/>
                <w:szCs w:val="18"/>
              </w:rPr>
            </w:pPr>
          </w:p>
        </w:tc>
        <w:tc>
          <w:tcPr>
            <w:tcW w:w="0" w:type="auto"/>
            <w:tcBorders>
              <w:left w:val="thinThickSmallGap" w:sz="24" w:space="0" w:color="auto"/>
              <w:bottom w:val="thinThickSmallGap" w:sz="24" w:space="0" w:color="auto"/>
              <w:right w:val="thinThickSmallGap" w:sz="24" w:space="0" w:color="auto"/>
            </w:tcBorders>
            <w:shd w:val="clear" w:color="auto" w:fill="E6E6E6"/>
          </w:tcPr>
          <w:p w14:paraId="202076FD" w14:textId="77777777" w:rsidR="006E0F63" w:rsidRPr="00901D81" w:rsidRDefault="006E0F63" w:rsidP="001569D4">
            <w:pPr>
              <w:spacing w:after="0" w:line="240" w:lineRule="auto"/>
              <w:jc w:val="right"/>
              <w:rPr>
                <w:rFonts w:ascii="Arial" w:hAnsi="Arial" w:cs="Arial"/>
                <w:sz w:val="18"/>
                <w:szCs w:val="18"/>
              </w:rPr>
            </w:pPr>
          </w:p>
        </w:tc>
        <w:tc>
          <w:tcPr>
            <w:tcW w:w="0" w:type="auto"/>
            <w:tcBorders>
              <w:left w:val="thinThickSmallGap" w:sz="24" w:space="0" w:color="auto"/>
            </w:tcBorders>
            <w:shd w:val="clear" w:color="auto" w:fill="E6E6E6"/>
          </w:tcPr>
          <w:p w14:paraId="18817B3D" w14:textId="77777777" w:rsidR="006E0F63" w:rsidRPr="00901D81" w:rsidRDefault="006E0F63" w:rsidP="001569D4">
            <w:pPr>
              <w:spacing w:after="0" w:line="240" w:lineRule="auto"/>
              <w:jc w:val="right"/>
              <w:rPr>
                <w:rFonts w:ascii="Arial" w:hAnsi="Arial" w:cs="Arial"/>
                <w:sz w:val="18"/>
                <w:szCs w:val="18"/>
              </w:rPr>
            </w:pPr>
          </w:p>
        </w:tc>
        <w:tc>
          <w:tcPr>
            <w:tcW w:w="0" w:type="auto"/>
            <w:shd w:val="clear" w:color="auto" w:fill="E6E6E6"/>
          </w:tcPr>
          <w:p w14:paraId="3A6196E5" w14:textId="77777777" w:rsidR="006E0F63" w:rsidRPr="00901D81" w:rsidRDefault="006E0F63" w:rsidP="001569D4">
            <w:pPr>
              <w:spacing w:after="0" w:line="240" w:lineRule="auto"/>
              <w:jc w:val="right"/>
              <w:rPr>
                <w:rFonts w:ascii="Arial" w:hAnsi="Arial" w:cs="Arial"/>
                <w:sz w:val="18"/>
                <w:szCs w:val="18"/>
              </w:rPr>
            </w:pPr>
          </w:p>
        </w:tc>
        <w:tc>
          <w:tcPr>
            <w:tcW w:w="0" w:type="auto"/>
            <w:shd w:val="clear" w:color="auto" w:fill="E6E6E6"/>
          </w:tcPr>
          <w:p w14:paraId="4CE6B0D3" w14:textId="77777777" w:rsidR="006E0F63" w:rsidRPr="00901D81" w:rsidRDefault="006E0F63" w:rsidP="001569D4">
            <w:pPr>
              <w:spacing w:after="0" w:line="240" w:lineRule="auto"/>
              <w:jc w:val="center"/>
              <w:rPr>
                <w:rFonts w:ascii="Arial" w:hAnsi="Arial" w:cs="Arial"/>
                <w:sz w:val="18"/>
                <w:szCs w:val="18"/>
              </w:rPr>
            </w:pPr>
          </w:p>
        </w:tc>
      </w:tr>
    </w:tbl>
    <w:p w14:paraId="28200F36" w14:textId="4A4F1234"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BAAD0" w14:textId="77777777" w:rsidR="00676CBF" w:rsidRDefault="00676CBF" w:rsidP="00595E08">
      <w:pPr>
        <w:spacing w:after="0" w:line="240" w:lineRule="auto"/>
      </w:pPr>
      <w:r>
        <w:separator/>
      </w:r>
    </w:p>
  </w:endnote>
  <w:endnote w:type="continuationSeparator" w:id="0">
    <w:p w14:paraId="0CD65A52" w14:textId="77777777" w:rsidR="00676CBF" w:rsidRDefault="00676CB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C2867" w14:textId="77777777" w:rsidR="00676CBF" w:rsidRDefault="00676CBF" w:rsidP="00595E08">
      <w:pPr>
        <w:spacing w:after="0" w:line="240" w:lineRule="auto"/>
      </w:pPr>
      <w:r>
        <w:separator/>
      </w:r>
    </w:p>
  </w:footnote>
  <w:footnote w:type="continuationSeparator" w:id="0">
    <w:p w14:paraId="7688C5D2" w14:textId="77777777" w:rsidR="00676CBF" w:rsidRDefault="00676CBF"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B970CDA"/>
    <w:multiLevelType w:val="hybridMultilevel"/>
    <w:tmpl w:val="6218D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3452"/>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135C9"/>
    <w:rsid w:val="0012042A"/>
    <w:rsid w:val="001218D8"/>
    <w:rsid w:val="00122FC7"/>
    <w:rsid w:val="00124699"/>
    <w:rsid w:val="00136127"/>
    <w:rsid w:val="00142E5B"/>
    <w:rsid w:val="0015485D"/>
    <w:rsid w:val="001549C2"/>
    <w:rsid w:val="001729FD"/>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552C3"/>
    <w:rsid w:val="00267052"/>
    <w:rsid w:val="0027201C"/>
    <w:rsid w:val="0027721A"/>
    <w:rsid w:val="00280379"/>
    <w:rsid w:val="00280B32"/>
    <w:rsid w:val="00297526"/>
    <w:rsid w:val="002A3E51"/>
    <w:rsid w:val="002A597D"/>
    <w:rsid w:val="002A5A13"/>
    <w:rsid w:val="002B3545"/>
    <w:rsid w:val="002B41CC"/>
    <w:rsid w:val="002C091D"/>
    <w:rsid w:val="002C18E4"/>
    <w:rsid w:val="002C616B"/>
    <w:rsid w:val="002C65CD"/>
    <w:rsid w:val="002D00D1"/>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0B3F"/>
    <w:rsid w:val="0063644A"/>
    <w:rsid w:val="006412FF"/>
    <w:rsid w:val="00641661"/>
    <w:rsid w:val="00646201"/>
    <w:rsid w:val="0064682B"/>
    <w:rsid w:val="00663769"/>
    <w:rsid w:val="00670FBB"/>
    <w:rsid w:val="0067189B"/>
    <w:rsid w:val="006737A5"/>
    <w:rsid w:val="00673F77"/>
    <w:rsid w:val="0067446D"/>
    <w:rsid w:val="00676CBF"/>
    <w:rsid w:val="006832EE"/>
    <w:rsid w:val="006852F9"/>
    <w:rsid w:val="00690E5D"/>
    <w:rsid w:val="00692CDA"/>
    <w:rsid w:val="0069320C"/>
    <w:rsid w:val="0069350E"/>
    <w:rsid w:val="00695012"/>
    <w:rsid w:val="006A0B6E"/>
    <w:rsid w:val="006A5DD3"/>
    <w:rsid w:val="006B22E7"/>
    <w:rsid w:val="006D3BE7"/>
    <w:rsid w:val="006E0A15"/>
    <w:rsid w:val="006E0F63"/>
    <w:rsid w:val="006E394D"/>
    <w:rsid w:val="006F29BD"/>
    <w:rsid w:val="006F43EB"/>
    <w:rsid w:val="00705569"/>
    <w:rsid w:val="00717870"/>
    <w:rsid w:val="007264AE"/>
    <w:rsid w:val="00726D85"/>
    <w:rsid w:val="00730CAC"/>
    <w:rsid w:val="00731F8B"/>
    <w:rsid w:val="00732CB3"/>
    <w:rsid w:val="007427D1"/>
    <w:rsid w:val="007435A6"/>
    <w:rsid w:val="0075024D"/>
    <w:rsid w:val="007547E0"/>
    <w:rsid w:val="00756469"/>
    <w:rsid w:val="00756592"/>
    <w:rsid w:val="00757321"/>
    <w:rsid w:val="00761318"/>
    <w:rsid w:val="00762C4F"/>
    <w:rsid w:val="00764D4B"/>
    <w:rsid w:val="007666C5"/>
    <w:rsid w:val="00766BD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04A80"/>
    <w:rsid w:val="0081352C"/>
    <w:rsid w:val="0081487A"/>
    <w:rsid w:val="00823F18"/>
    <w:rsid w:val="00825440"/>
    <w:rsid w:val="00830C8C"/>
    <w:rsid w:val="00834D33"/>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87C2E"/>
    <w:rsid w:val="00893C68"/>
    <w:rsid w:val="00895BDC"/>
    <w:rsid w:val="008A0D72"/>
    <w:rsid w:val="008A2357"/>
    <w:rsid w:val="008A23F8"/>
    <w:rsid w:val="008A2BE9"/>
    <w:rsid w:val="008A3110"/>
    <w:rsid w:val="008B1479"/>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82CA5"/>
    <w:rsid w:val="00992221"/>
    <w:rsid w:val="009A0E3D"/>
    <w:rsid w:val="009A1B72"/>
    <w:rsid w:val="009B1746"/>
    <w:rsid w:val="009B1F88"/>
    <w:rsid w:val="009C0212"/>
    <w:rsid w:val="009D0040"/>
    <w:rsid w:val="009D33DC"/>
    <w:rsid w:val="009D41D6"/>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59C0"/>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03CD"/>
    <w:rsid w:val="00DE100B"/>
    <w:rsid w:val="00DE396E"/>
    <w:rsid w:val="00DE58C6"/>
    <w:rsid w:val="00E01533"/>
    <w:rsid w:val="00E017AC"/>
    <w:rsid w:val="00E018E6"/>
    <w:rsid w:val="00E0676F"/>
    <w:rsid w:val="00E14724"/>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323D"/>
    <w:rsid w:val="00EF40E1"/>
    <w:rsid w:val="00F03251"/>
    <w:rsid w:val="00F2008A"/>
    <w:rsid w:val="00F208EC"/>
    <w:rsid w:val="00F26119"/>
    <w:rsid w:val="00F27F68"/>
    <w:rsid w:val="00F3153F"/>
    <w:rsid w:val="00F3231D"/>
    <w:rsid w:val="00F34519"/>
    <w:rsid w:val="00F40554"/>
    <w:rsid w:val="00F432FE"/>
    <w:rsid w:val="00F440B1"/>
    <w:rsid w:val="00F443E3"/>
    <w:rsid w:val="00F454F9"/>
    <w:rsid w:val="00F50DDA"/>
    <w:rsid w:val="00F55830"/>
    <w:rsid w:val="00F57F49"/>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49BF"/>
    <w:rsid w:val="00FC5075"/>
    <w:rsid w:val="00FC5148"/>
    <w:rsid w:val="00FC5BD0"/>
    <w:rsid w:val="00FD5F83"/>
    <w:rsid w:val="00FE44EC"/>
    <w:rsid w:val="00FE48E7"/>
    <w:rsid w:val="00FE7527"/>
    <w:rsid w:val="00FE7729"/>
    <w:rsid w:val="00FF218A"/>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C2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1e39d912d21c91dce811d6da9929ae8.cdn.ilink247.com/ClientFiles/cga/CitrusGowersAssociation/Company/Documents/CGA%20Food%20Safety%20%20Sustainability%20Portfolio%20Assistant%20-%20Job%20Description%20-%20April%20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survey.zohopublic.com/zs/xCCNNU"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Sheet4!$B$3:$B$19</c:f>
              <c:extLst/>
            </c:numRef>
          </c:val>
          <c:extLst>
            <c:ext xmlns:c16="http://schemas.microsoft.com/office/drawing/2014/chart" uri="{C3380CC4-5D6E-409C-BE32-E72D297353CC}">
              <c16:uniqueId val="{00000000-A51E-4C1A-AC02-D38B4883C7CB}"/>
            </c:ext>
          </c:extLst>
        </c:ser>
        <c:ser>
          <c:idx val="1"/>
          <c:order val="1"/>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Sheet4!$C$3:$C$19</c:f>
              <c:extLst/>
            </c:numRef>
          </c:val>
          <c:extLst>
            <c:ext xmlns:c16="http://schemas.microsoft.com/office/drawing/2014/chart" uri="{C3380CC4-5D6E-409C-BE32-E72D297353CC}">
              <c16:uniqueId val="{00000001-A51E-4C1A-AC02-D38B4883C7CB}"/>
            </c:ext>
          </c:extLst>
        </c:ser>
        <c:ser>
          <c:idx val="2"/>
          <c:order val="2"/>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Sheet4!$D$3:$D$19</c:f>
              <c:extLst/>
            </c:numRef>
          </c:val>
          <c:extLst>
            <c:ext xmlns:c16="http://schemas.microsoft.com/office/drawing/2014/chart" uri="{C3380CC4-5D6E-409C-BE32-E72D297353CC}">
              <c16:uniqueId val="{00000002-A51E-4C1A-AC02-D38B4883C7CB}"/>
            </c:ext>
          </c:extLst>
        </c:ser>
        <c:ser>
          <c:idx val="3"/>
          <c:order val="3"/>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Sheet4!$E$3:$E$19</c:f>
              <c:extLst/>
            </c:numRef>
          </c:val>
          <c:extLst>
            <c:ext xmlns:c16="http://schemas.microsoft.com/office/drawing/2014/chart" uri="{C3380CC4-5D6E-409C-BE32-E72D297353CC}">
              <c16:uniqueId val="{00000003-A51E-4C1A-AC02-D38B4883C7CB}"/>
            </c:ext>
          </c:extLst>
        </c:ser>
        <c:ser>
          <c:idx val="4"/>
          <c:order val="4"/>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Sheet4!$F$3:$F$19</c:f>
              <c:extLst/>
            </c:numRef>
          </c:val>
          <c:extLst>
            <c:ext xmlns:c16="http://schemas.microsoft.com/office/drawing/2014/chart" uri="{C3380CC4-5D6E-409C-BE32-E72D297353CC}">
              <c16:uniqueId val="{00000004-A51E-4C1A-AC02-D38B4883C7CB}"/>
            </c:ext>
          </c:extLst>
        </c:ser>
        <c:ser>
          <c:idx val="5"/>
          <c:order val="5"/>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Sheet4!$G$3:$G$19</c:f>
              <c:extLst/>
            </c:numRef>
          </c:val>
          <c:extLst>
            <c:ext xmlns:c16="http://schemas.microsoft.com/office/drawing/2014/chart" uri="{C3380CC4-5D6E-409C-BE32-E72D297353CC}">
              <c16:uniqueId val="{00000005-A51E-4C1A-AC02-D38B4883C7CB}"/>
            </c:ext>
          </c:extLst>
        </c:ser>
        <c:ser>
          <c:idx val="6"/>
          <c:order val="6"/>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Sheet4!$H$3:$H$19</c:f>
              <c:extLst/>
            </c:numRef>
          </c:val>
          <c:extLst>
            <c:ext xmlns:c16="http://schemas.microsoft.com/office/drawing/2014/chart" uri="{C3380CC4-5D6E-409C-BE32-E72D297353CC}">
              <c16:uniqueId val="{00000006-A51E-4C1A-AC02-D38B4883C7CB}"/>
            </c:ext>
          </c:extLst>
        </c:ser>
        <c:ser>
          <c:idx val="7"/>
          <c:order val="7"/>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Sheet4!$I$3:$I$19</c:f>
              <c:extLst/>
            </c:numRef>
          </c:val>
          <c:extLst>
            <c:ext xmlns:c16="http://schemas.microsoft.com/office/drawing/2014/chart" uri="{C3380CC4-5D6E-409C-BE32-E72D297353CC}">
              <c16:uniqueId val="{00000007-A51E-4C1A-AC02-D38B4883C7CB}"/>
            </c:ext>
          </c:extLst>
        </c:ser>
        <c:ser>
          <c:idx val="8"/>
          <c:order val="8"/>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Sheet4!$J$3:$J$19</c:f>
              <c:extLst/>
            </c:numRef>
          </c:val>
          <c:extLst>
            <c:ext xmlns:c16="http://schemas.microsoft.com/office/drawing/2014/chart" uri="{C3380CC4-5D6E-409C-BE32-E72D297353CC}">
              <c16:uniqueId val="{00000008-A51E-4C1A-AC02-D38B4883C7CB}"/>
            </c:ext>
          </c:extLst>
        </c:ser>
        <c:ser>
          <c:idx val="9"/>
          <c:order val="9"/>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Sheet4!$K$3:$K$19</c:f>
              <c:extLst/>
            </c:numRef>
          </c:val>
          <c:extLst>
            <c:ext xmlns:c16="http://schemas.microsoft.com/office/drawing/2014/chart" uri="{C3380CC4-5D6E-409C-BE32-E72D297353CC}">
              <c16:uniqueId val="{00000009-A51E-4C1A-AC02-D38B4883C7CB}"/>
            </c:ext>
          </c:extLst>
        </c:ser>
        <c:ser>
          <c:idx val="10"/>
          <c:order val="10"/>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Sheet4!$L$3:$L$19</c:f>
              <c:extLst/>
            </c:numRef>
          </c:val>
          <c:extLst>
            <c:ext xmlns:c16="http://schemas.microsoft.com/office/drawing/2014/chart" uri="{C3380CC4-5D6E-409C-BE32-E72D297353CC}">
              <c16:uniqueId val="{0000000A-A51E-4C1A-AC02-D38B4883C7CB}"/>
            </c:ext>
          </c:extLst>
        </c:ser>
        <c:ser>
          <c:idx val="11"/>
          <c:order val="11"/>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Sheet4!$M$3:$M$19</c:f>
              <c:extLst/>
            </c:numRef>
          </c:val>
          <c:extLst>
            <c:ext xmlns:c16="http://schemas.microsoft.com/office/drawing/2014/chart" uri="{C3380CC4-5D6E-409C-BE32-E72D297353CC}">
              <c16:uniqueId val="{0000000B-A51E-4C1A-AC02-D38B4883C7CB}"/>
            </c:ext>
          </c:extLst>
        </c:ser>
        <c:ser>
          <c:idx val="12"/>
          <c:order val="12"/>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7"/>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est 2021</c:v>
                </c:pt>
              </c:strCache>
              <c:extLst/>
            </c:strRef>
          </c:cat>
          <c:val>
            <c:numRef>
              <c:f>Sheet4!$N$3:$N$19</c:f>
              <c:extLst/>
            </c:numRef>
          </c:val>
          <c:extLst>
            <c:ext xmlns:c16="http://schemas.microsoft.com/office/drawing/2014/chart" uri="{C3380CC4-5D6E-409C-BE32-E72D297353CC}">
              <c16:uniqueId val="{0000000C-A51E-4C1A-AC02-D38B4883C7CB}"/>
            </c:ext>
          </c:extLst>
        </c:ser>
        <c:ser>
          <c:idx val="13"/>
          <c:order val="13"/>
          <c:spPr>
            <a:solidFill>
              <a:srgbClr val="FF6699"/>
            </a:solidFill>
            <a:ln>
              <a:noFill/>
            </a:ln>
            <a:effectLst/>
          </c:spPr>
          <c:invertIfNegative val="0"/>
          <c:dPt>
            <c:idx val="10"/>
            <c:invertIfNegative val="0"/>
            <c:bubble3D val="0"/>
            <c:spPr>
              <a:pattFill prst="dkUpDiag">
                <a:fgClr>
                  <a:srgbClr val="92D050"/>
                </a:fgClr>
                <a:bgClr>
                  <a:schemeClr val="bg1"/>
                </a:bgClr>
              </a:pattFill>
              <a:ln>
                <a:noFill/>
              </a:ln>
              <a:effectLst/>
            </c:spPr>
            <c:extLst>
              <c:ext xmlns:c16="http://schemas.microsoft.com/office/drawing/2014/chart" uri="{C3380CC4-5D6E-409C-BE32-E72D297353CC}">
                <c16:uniqueId val="{0000000E-A51E-4C1A-AC02-D38B4883C7CB}"/>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Sheet4!$A$3:$A$19</c:f>
              <c:strCache>
                <c:ptCount val="11"/>
                <c:pt idx="0">
                  <c:v>2011</c:v>
                </c:pt>
                <c:pt idx="1">
                  <c:v>2012</c:v>
                </c:pt>
                <c:pt idx="2">
                  <c:v>2013</c:v>
                </c:pt>
                <c:pt idx="3">
                  <c:v>2014</c:v>
                </c:pt>
                <c:pt idx="4">
                  <c:v>2015</c:v>
                </c:pt>
                <c:pt idx="5">
                  <c:v>2016</c:v>
                </c:pt>
                <c:pt idx="6">
                  <c:v>2017</c:v>
                </c:pt>
                <c:pt idx="7">
                  <c:v>2018</c:v>
                </c:pt>
                <c:pt idx="8">
                  <c:v>2019</c:v>
                </c:pt>
                <c:pt idx="9">
                  <c:v>2020</c:v>
                </c:pt>
                <c:pt idx="10">
                  <c:v>est 2021</c:v>
                </c:pt>
              </c:strCache>
              <c:extLst/>
            </c:strRef>
          </c:cat>
          <c:val>
            <c:numRef>
              <c:f>Sheet4!$O$3:$O$19</c:f>
              <c:numCache>
                <c:formatCode>_ * #,##0.0_ ;_ * \-#,##0.0_ ;_ * "-"??_ ;_ @_ </c:formatCode>
                <c:ptCount val="11"/>
                <c:pt idx="0">
                  <c:v>12.834313</c:v>
                </c:pt>
                <c:pt idx="1">
                  <c:v>10.835724000000001</c:v>
                </c:pt>
                <c:pt idx="2">
                  <c:v>15.217015999999999</c:v>
                </c:pt>
                <c:pt idx="3">
                  <c:v>13.177122000000001</c:v>
                </c:pt>
                <c:pt idx="4">
                  <c:v>13.459588</c:v>
                </c:pt>
                <c:pt idx="5">
                  <c:v>11.671334</c:v>
                </c:pt>
                <c:pt idx="6">
                  <c:v>13.450760000000001</c:v>
                </c:pt>
                <c:pt idx="7">
                  <c:v>15.893800000000001</c:v>
                </c:pt>
                <c:pt idx="8">
                  <c:v>14.666880000000001</c:v>
                </c:pt>
                <c:pt idx="9">
                  <c:v>13.21607</c:v>
                </c:pt>
                <c:pt idx="10">
                  <c:v>15.445992</c:v>
                </c:pt>
              </c:numCache>
              <c:extLst/>
            </c:numRef>
          </c:val>
          <c:extLst>
            <c:ext xmlns:c16="http://schemas.microsoft.com/office/drawing/2014/chart" uri="{C3380CC4-5D6E-409C-BE32-E72D297353CC}">
              <c16:uniqueId val="{0000000F-A51E-4C1A-AC02-D38B4883C7CB}"/>
            </c:ext>
          </c:extLst>
        </c:ser>
        <c:dLbls>
          <c:dLblPos val="outEnd"/>
          <c:showLegendKey val="0"/>
          <c:showVal val="1"/>
          <c:showCatName val="0"/>
          <c:showSerName val="0"/>
          <c:showPercent val="0"/>
          <c:showBubbleSize val="0"/>
        </c:dLbls>
        <c:gapWidth val="219"/>
        <c:overlap val="-27"/>
        <c:axId val="560833824"/>
        <c:axId val="560843392"/>
      </c:barChart>
      <c:catAx>
        <c:axId val="560833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crossAx val="560843392"/>
        <c:crosses val="autoZero"/>
        <c:auto val="1"/>
        <c:lblAlgn val="ctr"/>
        <c:lblOffset val="100"/>
        <c:noMultiLvlLbl val="0"/>
      </c:catAx>
      <c:valAx>
        <c:axId val="560843392"/>
        <c:scaling>
          <c:orientation val="minMax"/>
        </c:scaling>
        <c:delete val="0"/>
        <c:axPos val="l"/>
        <c:title>
          <c:tx>
            <c:rich>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r>
                  <a:rPr lang="en-ZA" sz="800" b="1">
                    <a:solidFill>
                      <a:sysClr val="windowText" lastClr="000000"/>
                    </a:solidFill>
                  </a:rPr>
                  <a:t>Million</a:t>
                </a:r>
                <a:r>
                  <a:rPr lang="en-ZA" sz="800" b="1" baseline="0">
                    <a:solidFill>
                      <a:sysClr val="windowText" lastClr="000000"/>
                    </a:solidFill>
                  </a:rPr>
                  <a:t> cartons</a:t>
                </a:r>
                <a:endParaRPr lang="en-ZA" sz="800" b="1">
                  <a:solidFill>
                    <a:sysClr val="windowText" lastClr="000000"/>
                  </a:solidFill>
                </a:endParaRPr>
              </a:p>
            </c:rich>
          </c:tx>
          <c:layout>
            <c:manualLayout>
              <c:xMode val="edge"/>
              <c:yMode val="edge"/>
              <c:x val="2.5000000000000001E-2"/>
              <c:y val="0.41327938174394857"/>
            </c:manualLayout>
          </c:layout>
          <c:overlay val="0"/>
          <c:spPr>
            <a:noFill/>
            <a:ln>
              <a:noFill/>
            </a:ln>
            <a:effectLst/>
          </c:spPr>
          <c:txPr>
            <a:bodyPr rot="-54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title>
        <c:numFmt formatCode="_ * #,##0.0_ ;_ * \-#,##0.0_ ;_ * &quot;-&quot;??_ ;_ @_ "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56083382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rgbClr val="FFC00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7</cp:revision>
  <cp:lastPrinted>2021-04-21T11:19:00Z</cp:lastPrinted>
  <dcterms:created xsi:type="dcterms:W3CDTF">2021-04-22T13:54:00Z</dcterms:created>
  <dcterms:modified xsi:type="dcterms:W3CDTF">2021-04-23T09:37:00Z</dcterms:modified>
</cp:coreProperties>
</file>