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8654A3" w:rsidRDefault="005859D8" w:rsidP="005859D8">
      <w:pPr>
        <w:spacing w:after="0" w:line="240" w:lineRule="auto"/>
        <w:ind w:right="113"/>
        <w:rPr>
          <w:rFonts w:asciiTheme="minorHAnsi" w:hAnsiTheme="minorHAnsi" w:cstheme="minorHAnsi"/>
          <w:b/>
          <w:i/>
          <w:sz w:val="24"/>
          <w:szCs w:val="24"/>
        </w:rPr>
      </w:pPr>
      <w:r w:rsidRPr="008654A3">
        <w:rPr>
          <w:rFonts w:asciiTheme="minorHAnsi" w:hAnsiTheme="minorHAnsi" w:cstheme="minorHAnsi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0CFF64D8" wp14:editId="3F4517A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A3">
        <w:rPr>
          <w:rFonts w:asciiTheme="minorHAnsi" w:hAnsiTheme="minorHAnsi" w:cstheme="minorHAnsi"/>
          <w:b/>
          <w:i/>
          <w:sz w:val="24"/>
          <w:szCs w:val="24"/>
        </w:rPr>
        <w:t>FROM THE DESK OF THE CEO (</w:t>
      </w:r>
      <w:r w:rsidR="00380CC6">
        <w:rPr>
          <w:rFonts w:asciiTheme="minorHAnsi" w:hAnsiTheme="minorHAnsi" w:cstheme="minorHAnsi"/>
          <w:b/>
          <w:i/>
          <w:sz w:val="24"/>
          <w:szCs w:val="24"/>
        </w:rPr>
        <w:t>19</w:t>
      </w:r>
      <w:r w:rsidR="00AD79A4" w:rsidRPr="008654A3">
        <w:rPr>
          <w:rFonts w:asciiTheme="minorHAnsi" w:hAnsiTheme="minorHAnsi" w:cstheme="minorHAnsi"/>
          <w:b/>
          <w:i/>
          <w:sz w:val="24"/>
          <w:szCs w:val="24"/>
        </w:rPr>
        <w:t>/21</w:t>
      </w:r>
      <w:r w:rsidRPr="008654A3">
        <w:rPr>
          <w:rFonts w:asciiTheme="minorHAnsi" w:hAnsiTheme="minorHAnsi" w:cstheme="minorHAnsi"/>
          <w:b/>
          <w:i/>
          <w:sz w:val="24"/>
          <w:szCs w:val="24"/>
        </w:rPr>
        <w:t>)</w:t>
      </w:r>
      <w:r w:rsidRPr="008654A3">
        <w:rPr>
          <w:rFonts w:asciiTheme="minorHAnsi" w:hAnsiTheme="minorHAnsi" w:cstheme="minorHAnsi"/>
          <w:noProof/>
          <w:sz w:val="24"/>
          <w:szCs w:val="24"/>
          <w:lang w:eastAsia="en-ZA"/>
        </w:rPr>
        <w:t xml:space="preserve"> </w:t>
      </w:r>
    </w:p>
    <w:p w:rsidR="005859D8" w:rsidRPr="008654A3" w:rsidRDefault="005859D8" w:rsidP="005859D8">
      <w:pPr>
        <w:spacing w:after="0" w:line="240" w:lineRule="auto"/>
        <w:ind w:right="113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654A3">
        <w:rPr>
          <w:rFonts w:asciiTheme="minorHAnsi" w:hAnsiTheme="minorHAnsi" w:cstheme="minorHAnsi"/>
          <w:b/>
          <w:color w:val="FF0000"/>
          <w:sz w:val="24"/>
          <w:szCs w:val="24"/>
        </w:rPr>
        <w:t>(Follow me on Twitter justchad_cga)</w:t>
      </w:r>
    </w:p>
    <w:p w:rsidR="00361403" w:rsidRPr="008654A3" w:rsidRDefault="00380CC6" w:rsidP="00A751D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Justin Chadwick 21</w:t>
      </w:r>
      <w:r w:rsidR="00FF1311">
        <w:rPr>
          <w:rFonts w:asciiTheme="minorHAnsi" w:hAnsiTheme="minorHAnsi" w:cstheme="minorHAnsi"/>
          <w:i/>
          <w:sz w:val="24"/>
          <w:szCs w:val="24"/>
        </w:rPr>
        <w:t xml:space="preserve"> May</w:t>
      </w:r>
      <w:r w:rsidR="00AD79A4" w:rsidRPr="008654A3">
        <w:rPr>
          <w:rFonts w:asciiTheme="minorHAnsi" w:hAnsiTheme="minorHAnsi" w:cstheme="minorHAnsi"/>
          <w:i/>
          <w:sz w:val="24"/>
          <w:szCs w:val="24"/>
        </w:rPr>
        <w:t xml:space="preserve"> 2021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603FFA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603FFA" w:rsidRDefault="00CE0436" w:rsidP="00380CC6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603FFA">
              <w:rPr>
                <w:rFonts w:asciiTheme="minorHAnsi" w:hAnsiTheme="minorHAnsi" w:cstheme="minorHAnsi"/>
                <w:b/>
                <w:i/>
                <w:color w:val="2D2D2D"/>
                <w:shd w:val="clear" w:color="auto" w:fill="FFFFFF"/>
              </w:rPr>
              <w:t>“</w:t>
            </w:r>
            <w:r w:rsidR="00380CC6">
              <w:rPr>
                <w:rFonts w:asciiTheme="minorHAnsi" w:hAnsiTheme="minorHAnsi" w:cstheme="minorHAnsi"/>
                <w:b/>
                <w:i/>
                <w:color w:val="2D2D2D"/>
                <w:shd w:val="clear" w:color="auto" w:fill="FFFFFF"/>
              </w:rPr>
              <w:t>Seeing ourselves as others see us would probably confirm our worst suspicions about them” Franklin P Adams</w:t>
            </w:r>
          </w:p>
        </w:tc>
      </w:tr>
    </w:tbl>
    <w:p w:rsidR="00DD3A75" w:rsidRPr="00603FFA" w:rsidRDefault="005D3D1D" w:rsidP="00DD3A75">
      <w:pPr>
        <w:spacing w:after="0"/>
        <w:rPr>
          <w:rFonts w:asciiTheme="minorHAnsi" w:eastAsia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7030A0"/>
          <w:u w:val="single"/>
          <w:lang w:val="en-US"/>
        </w:rPr>
        <w:t xml:space="preserve">PRESENTATION BY ERIC IMBERT - </w:t>
      </w:r>
      <w:r w:rsidR="007A7155" w:rsidRPr="00603FFA">
        <w:rPr>
          <w:rFonts w:asciiTheme="minorHAnsi" w:eastAsia="Times New Roman" w:hAnsiTheme="minorHAnsi" w:cstheme="minorHAnsi"/>
          <w:b/>
          <w:color w:val="7030A0"/>
          <w:u w:val="single"/>
          <w:lang w:val="en-US"/>
        </w:rPr>
        <w:t>WORLD CITRUS ORGANISATION (WCO) AGM</w:t>
      </w:r>
    </w:p>
    <w:p w:rsidR="005D3D1D" w:rsidRDefault="005D3D1D" w:rsidP="00055F10">
      <w:p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Eric’s presentation focused on southern hemisphe</w:t>
      </w:r>
      <w:r w:rsidR="00E202E6">
        <w:rPr>
          <w:rFonts w:asciiTheme="minorHAnsi" w:hAnsiTheme="minorHAnsi" w:cstheme="minorHAnsi"/>
          <w:lang w:val="en-US"/>
        </w:rPr>
        <w:t>re citrus information</w:t>
      </w:r>
      <w:r>
        <w:rPr>
          <w:rFonts w:asciiTheme="minorHAnsi" w:hAnsiTheme="minorHAnsi" w:cstheme="minorHAnsi"/>
          <w:lang w:val="en-US"/>
        </w:rPr>
        <w:t xml:space="preserve">. This included some interesting facts: </w:t>
      </w:r>
    </w:p>
    <w:p w:rsidR="00E13E00" w:rsidRDefault="005D3D1D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Southern hemisphere share of annual citrus trade increased to 27% from 24% in 2019. A total of 3.7 million tonnes</w:t>
      </w:r>
      <w:r w:rsidR="00E13E00">
        <w:rPr>
          <w:rFonts w:asciiTheme="minorHAnsi" w:hAnsiTheme="minorHAnsi" w:cstheme="minorHAnsi"/>
          <w:lang w:val="en-US"/>
        </w:rPr>
        <w:t xml:space="preserve"> was exported</w:t>
      </w:r>
      <w:r>
        <w:rPr>
          <w:rFonts w:asciiTheme="minorHAnsi" w:hAnsiTheme="minorHAnsi" w:cstheme="minorHAnsi"/>
          <w:lang w:val="en-US"/>
        </w:rPr>
        <w:t xml:space="preserve"> in 2020</w:t>
      </w:r>
      <w:r w:rsidR="00E202E6">
        <w:rPr>
          <w:rFonts w:asciiTheme="minorHAnsi" w:hAnsiTheme="minorHAnsi" w:cstheme="minorHAnsi"/>
          <w:lang w:val="en-US"/>
        </w:rPr>
        <w:t xml:space="preserve"> – an increase of 360 000 t</w:t>
      </w:r>
      <w:r>
        <w:rPr>
          <w:rFonts w:asciiTheme="minorHAnsi" w:hAnsiTheme="minorHAnsi" w:cstheme="minorHAnsi"/>
          <w:lang w:val="en-US"/>
        </w:rPr>
        <w:t xml:space="preserve"> from 2019. </w:t>
      </w:r>
      <w:r w:rsidR="00E202E6">
        <w:rPr>
          <w:rFonts w:asciiTheme="minorHAnsi" w:hAnsiTheme="minorHAnsi" w:cstheme="minorHAnsi"/>
          <w:lang w:val="en-US"/>
        </w:rPr>
        <w:t>In 2012</w:t>
      </w:r>
      <w:r w:rsidR="00E13E00">
        <w:rPr>
          <w:rFonts w:asciiTheme="minorHAnsi" w:hAnsiTheme="minorHAnsi" w:cstheme="minorHAnsi"/>
          <w:lang w:val="en-US"/>
        </w:rPr>
        <w:t xml:space="preserve"> the southern hemisphere share was 20%.</w:t>
      </w:r>
    </w:p>
    <w:p w:rsidR="00E13E00" w:rsidRDefault="00E13E00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Trade grew significantly in EU, UK and USA markets; while slight growth was recorded in Middle East and Eastern Europe. Asia was significantly down on 2019 volumes</w:t>
      </w:r>
      <w:r w:rsidR="00E202E6">
        <w:rPr>
          <w:rFonts w:asciiTheme="minorHAnsi" w:hAnsiTheme="minorHAnsi" w:cstheme="minorHAnsi"/>
          <w:lang w:val="en-US"/>
        </w:rPr>
        <w:t>; after growing at 60 000 t</w:t>
      </w:r>
      <w:r>
        <w:rPr>
          <w:rFonts w:asciiTheme="minorHAnsi" w:hAnsiTheme="minorHAnsi" w:cstheme="minorHAnsi"/>
          <w:lang w:val="en-US"/>
        </w:rPr>
        <w:t xml:space="preserve"> per annum for the past number of years; export volumes decre</w:t>
      </w:r>
      <w:r w:rsidR="00E202E6">
        <w:rPr>
          <w:rFonts w:asciiTheme="minorHAnsi" w:hAnsiTheme="minorHAnsi" w:cstheme="minorHAnsi"/>
          <w:lang w:val="en-US"/>
        </w:rPr>
        <w:t>ased by 80 000 t</w:t>
      </w:r>
      <w:r>
        <w:rPr>
          <w:rFonts w:asciiTheme="minorHAnsi" w:hAnsiTheme="minorHAnsi" w:cstheme="minorHAnsi"/>
          <w:lang w:val="en-US"/>
        </w:rPr>
        <w:t xml:space="preserve"> in 2020.</w:t>
      </w:r>
    </w:p>
    <w:p w:rsidR="00E13E00" w:rsidRDefault="00E13E00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Southern hemisphere soft citru</w:t>
      </w:r>
      <w:r w:rsidR="00E202E6">
        <w:rPr>
          <w:rFonts w:asciiTheme="minorHAnsi" w:hAnsiTheme="minorHAnsi" w:cstheme="minorHAnsi"/>
          <w:lang w:val="en-US"/>
        </w:rPr>
        <w:t>s exports grew by 169 000 t</w:t>
      </w:r>
      <w:r>
        <w:rPr>
          <w:rFonts w:asciiTheme="minorHAnsi" w:hAnsiTheme="minorHAnsi" w:cstheme="minorHAnsi"/>
          <w:lang w:val="en-US"/>
        </w:rPr>
        <w:t xml:space="preserve"> in 2020 – more than 2.4 times the average growth from 2015 to 2019. This was due </w:t>
      </w:r>
      <w:r w:rsidR="00E202E6">
        <w:rPr>
          <w:rFonts w:asciiTheme="minorHAnsi" w:hAnsiTheme="minorHAnsi" w:cstheme="minorHAnsi"/>
          <w:lang w:val="en-US"/>
        </w:rPr>
        <w:t>to an increase of 108 000 t</w:t>
      </w:r>
      <w:r>
        <w:rPr>
          <w:rFonts w:asciiTheme="minorHAnsi" w:hAnsiTheme="minorHAnsi" w:cstheme="minorHAnsi"/>
          <w:lang w:val="en-US"/>
        </w:rPr>
        <w:t xml:space="preserve"> to</w:t>
      </w:r>
      <w:r w:rsidR="00E202E6">
        <w:rPr>
          <w:rFonts w:asciiTheme="minorHAnsi" w:hAnsiTheme="minorHAnsi" w:cstheme="minorHAnsi"/>
          <w:lang w:val="en-US"/>
        </w:rPr>
        <w:t xml:space="preserve"> north America and 44 000 t</w:t>
      </w:r>
      <w:r>
        <w:rPr>
          <w:rFonts w:asciiTheme="minorHAnsi" w:hAnsiTheme="minorHAnsi" w:cstheme="minorHAnsi"/>
          <w:lang w:val="en-US"/>
        </w:rPr>
        <w:t xml:space="preserve"> to EU27+UK, and a doubling of volumes to Middle East. Asia showed a slight decline.</w:t>
      </w:r>
    </w:p>
    <w:p w:rsidR="00E13E00" w:rsidRDefault="00E13E00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Lemon exports from southern h</w:t>
      </w:r>
      <w:r w:rsidR="00E202E6">
        <w:rPr>
          <w:rFonts w:asciiTheme="minorHAnsi" w:hAnsiTheme="minorHAnsi" w:cstheme="minorHAnsi"/>
          <w:lang w:val="en-US"/>
        </w:rPr>
        <w:t>emisphere grew by 120 000 t – EU27+uk up 59 000 t</w:t>
      </w:r>
      <w:r>
        <w:rPr>
          <w:rFonts w:asciiTheme="minorHAnsi" w:hAnsiTheme="minorHAnsi" w:cstheme="minorHAnsi"/>
          <w:lang w:val="en-US"/>
        </w:rPr>
        <w:t>, Middle East up 25 000 t, north America up 13</w:t>
      </w:r>
      <w:r w:rsidR="00E202E6">
        <w:rPr>
          <w:rFonts w:asciiTheme="minorHAnsi" w:hAnsiTheme="minorHAnsi" w:cstheme="minorHAnsi"/>
          <w:lang w:val="en-US"/>
        </w:rPr>
        <w:t> </w:t>
      </w:r>
      <w:r>
        <w:rPr>
          <w:rFonts w:asciiTheme="minorHAnsi" w:hAnsiTheme="minorHAnsi" w:cstheme="minorHAnsi"/>
          <w:lang w:val="en-US"/>
        </w:rPr>
        <w:t>000</w:t>
      </w:r>
      <w:r w:rsidR="00E202E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 and Eastern Europe up 19</w:t>
      </w:r>
      <w:r w:rsidR="00E202E6">
        <w:rPr>
          <w:rFonts w:asciiTheme="minorHAnsi" w:hAnsiTheme="minorHAnsi" w:cstheme="minorHAnsi"/>
          <w:lang w:val="en-US"/>
        </w:rPr>
        <w:t> </w:t>
      </w:r>
      <w:r>
        <w:rPr>
          <w:rFonts w:asciiTheme="minorHAnsi" w:hAnsiTheme="minorHAnsi" w:cstheme="minorHAnsi"/>
          <w:lang w:val="en-US"/>
        </w:rPr>
        <w:t>000</w:t>
      </w:r>
      <w:r w:rsidR="00E202E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t.</w:t>
      </w:r>
    </w:p>
    <w:p w:rsidR="00473D01" w:rsidRDefault="00E13E00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Southern hemisphere orange </w:t>
      </w:r>
      <w:r w:rsidR="00E202E6">
        <w:rPr>
          <w:rFonts w:asciiTheme="minorHAnsi" w:hAnsiTheme="minorHAnsi" w:cstheme="minorHAnsi"/>
          <w:lang w:val="en-US"/>
        </w:rPr>
        <w:t>trade increased by 53 000 t</w:t>
      </w:r>
      <w:r>
        <w:rPr>
          <w:rFonts w:asciiTheme="minorHAnsi" w:hAnsiTheme="minorHAnsi" w:cstheme="minorHAnsi"/>
          <w:lang w:val="en-US"/>
        </w:rPr>
        <w:t xml:space="preserve"> (1.7 times the average between 2015 and 2019). </w:t>
      </w:r>
      <w:r w:rsidR="00473D01">
        <w:rPr>
          <w:rFonts w:asciiTheme="minorHAnsi" w:hAnsiTheme="minorHAnsi" w:cstheme="minorHAnsi"/>
          <w:lang w:val="en-US"/>
        </w:rPr>
        <w:t>EU27+UK was the driver increasing by 95 000 t, USA by 30</w:t>
      </w:r>
      <w:r w:rsidR="00E202E6">
        <w:rPr>
          <w:rFonts w:asciiTheme="minorHAnsi" w:hAnsiTheme="minorHAnsi" w:cstheme="minorHAnsi"/>
          <w:lang w:val="en-US"/>
        </w:rPr>
        <w:t> </w:t>
      </w:r>
      <w:r w:rsidR="00473D01">
        <w:rPr>
          <w:rFonts w:asciiTheme="minorHAnsi" w:hAnsiTheme="minorHAnsi" w:cstheme="minorHAnsi"/>
          <w:lang w:val="en-US"/>
        </w:rPr>
        <w:t>000</w:t>
      </w:r>
      <w:r w:rsidR="00E202E6">
        <w:rPr>
          <w:rFonts w:asciiTheme="minorHAnsi" w:hAnsiTheme="minorHAnsi" w:cstheme="minorHAnsi"/>
          <w:lang w:val="en-US"/>
        </w:rPr>
        <w:t xml:space="preserve"> </w:t>
      </w:r>
      <w:r w:rsidR="00473D01">
        <w:rPr>
          <w:rFonts w:asciiTheme="minorHAnsi" w:hAnsiTheme="minorHAnsi" w:cstheme="minorHAnsi"/>
          <w:lang w:val="en-US"/>
        </w:rPr>
        <w:t>t. Asia dropped by 30 000 t.</w:t>
      </w:r>
    </w:p>
    <w:p w:rsidR="00473D01" w:rsidRDefault="00473D01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Grapefruit pretty m</w:t>
      </w:r>
      <w:r w:rsidR="00E202E6">
        <w:rPr>
          <w:rFonts w:asciiTheme="minorHAnsi" w:hAnsiTheme="minorHAnsi" w:cstheme="minorHAnsi"/>
          <w:lang w:val="en-US"/>
        </w:rPr>
        <w:t>uch flat lined at 250 000 t</w:t>
      </w:r>
      <w:r>
        <w:rPr>
          <w:rFonts w:asciiTheme="minorHAnsi" w:hAnsiTheme="minorHAnsi" w:cstheme="minorHAnsi"/>
          <w:lang w:val="en-US"/>
        </w:rPr>
        <w:t>. EU27+UK was down 8 000 t and Asia up 9</w:t>
      </w:r>
      <w:r w:rsidR="00E202E6">
        <w:rPr>
          <w:rFonts w:asciiTheme="minorHAnsi" w:hAnsiTheme="minorHAnsi" w:cstheme="minorHAnsi"/>
          <w:lang w:val="en-US"/>
        </w:rPr>
        <w:t> </w:t>
      </w:r>
      <w:r>
        <w:rPr>
          <w:rFonts w:asciiTheme="minorHAnsi" w:hAnsiTheme="minorHAnsi" w:cstheme="minorHAnsi"/>
          <w:lang w:val="en-US"/>
        </w:rPr>
        <w:t>000</w:t>
      </w:r>
      <w:r w:rsidR="00E202E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t.</w:t>
      </w:r>
    </w:p>
    <w:p w:rsidR="00473D01" w:rsidRDefault="00473D01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During the period 2016 to 2020 southern hemisphere t</w:t>
      </w:r>
      <w:r w:rsidR="00E202E6">
        <w:rPr>
          <w:rFonts w:asciiTheme="minorHAnsi" w:hAnsiTheme="minorHAnsi" w:cstheme="minorHAnsi"/>
          <w:lang w:val="en-US"/>
        </w:rPr>
        <w:t>rade increased by 900 000 t</w:t>
      </w:r>
      <w:r>
        <w:rPr>
          <w:rFonts w:asciiTheme="minorHAnsi" w:hAnsiTheme="minorHAnsi" w:cstheme="minorHAnsi"/>
          <w:lang w:val="en-US"/>
        </w:rPr>
        <w:t xml:space="preserve">. Two thirds of the growth </w:t>
      </w:r>
      <w:r w:rsidR="003E4827">
        <w:rPr>
          <w:rFonts w:asciiTheme="minorHAnsi" w:hAnsiTheme="minorHAnsi" w:cstheme="minorHAnsi"/>
          <w:lang w:val="en-US"/>
        </w:rPr>
        <w:t>were</w:t>
      </w:r>
      <w:r>
        <w:rPr>
          <w:rFonts w:asciiTheme="minorHAnsi" w:hAnsiTheme="minorHAnsi" w:cstheme="minorHAnsi"/>
          <w:lang w:val="en-US"/>
        </w:rPr>
        <w:t xml:space="preserve"> from South Africa, 15% from Chile (mostly soft citrus), 14% from Peru (mostly soft citrus) and 4% from Australia (soft citrus and oranges). Uruguay and Argentina registered a reduction in volumes exported over this period.</w:t>
      </w:r>
    </w:p>
    <w:p w:rsidR="00D2116E" w:rsidRDefault="00D2116E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Citrus production in the southern hemisphere</w:t>
      </w:r>
      <w:r w:rsidR="00E202E6">
        <w:rPr>
          <w:rFonts w:asciiTheme="minorHAnsi" w:hAnsiTheme="minorHAnsi" w:cstheme="minorHAnsi"/>
          <w:lang w:val="en-US"/>
        </w:rPr>
        <w:t xml:space="preserve"> increased to 9.4 million t</w:t>
      </w:r>
      <w:r>
        <w:rPr>
          <w:rFonts w:asciiTheme="minorHAnsi" w:hAnsiTheme="minorHAnsi" w:cstheme="minorHAnsi"/>
          <w:lang w:val="en-US"/>
        </w:rPr>
        <w:t xml:space="preserve"> – a 9% increase over 2019. All countries other than Argentina recorded increases in production.</w:t>
      </w:r>
    </w:p>
    <w:p w:rsidR="003D51F0" w:rsidRPr="00E202E6" w:rsidRDefault="00D2116E" w:rsidP="00E202E6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Looking f</w:t>
      </w:r>
      <w:r w:rsidR="00E202E6">
        <w:rPr>
          <w:rFonts w:asciiTheme="minorHAnsi" w:hAnsiTheme="minorHAnsi" w:cstheme="minorHAnsi"/>
          <w:lang w:val="en-US"/>
        </w:rPr>
        <w:t>orward to 2021, it’s</w:t>
      </w:r>
      <w:r>
        <w:rPr>
          <w:rFonts w:asciiTheme="minorHAnsi" w:hAnsiTheme="minorHAnsi" w:cstheme="minorHAnsi"/>
          <w:lang w:val="en-US"/>
        </w:rPr>
        <w:t xml:space="preserve"> anticipated that soft citrus </w:t>
      </w:r>
      <w:r w:rsidR="003D51F0">
        <w:rPr>
          <w:rFonts w:asciiTheme="minorHAnsi" w:hAnsiTheme="minorHAnsi" w:cstheme="minorHAnsi"/>
          <w:lang w:val="en-US"/>
        </w:rPr>
        <w:t xml:space="preserve">and oranges </w:t>
      </w:r>
      <w:r>
        <w:rPr>
          <w:rFonts w:asciiTheme="minorHAnsi" w:hAnsiTheme="minorHAnsi" w:cstheme="minorHAnsi"/>
          <w:lang w:val="en-US"/>
        </w:rPr>
        <w:t xml:space="preserve">will </w:t>
      </w:r>
      <w:r w:rsidR="003D51F0">
        <w:rPr>
          <w:rFonts w:asciiTheme="minorHAnsi" w:hAnsiTheme="minorHAnsi" w:cstheme="minorHAnsi"/>
          <w:lang w:val="en-US"/>
        </w:rPr>
        <w:t>incr</w:t>
      </w:r>
      <w:r w:rsidR="00E202E6">
        <w:rPr>
          <w:rFonts w:asciiTheme="minorHAnsi" w:hAnsiTheme="minorHAnsi" w:cstheme="minorHAnsi"/>
          <w:lang w:val="en-US"/>
        </w:rPr>
        <w:t>ease by a further 200 000 t</w:t>
      </w:r>
      <w:r w:rsidR="003D51F0">
        <w:rPr>
          <w:rFonts w:asciiTheme="minorHAnsi" w:hAnsiTheme="minorHAnsi" w:cstheme="minorHAnsi"/>
          <w:lang w:val="en-US"/>
        </w:rPr>
        <w:t>, lemons by 100 000 t while grapefruit almost flat again.</w:t>
      </w:r>
      <w:r w:rsidR="00E202E6">
        <w:rPr>
          <w:rFonts w:asciiTheme="minorHAnsi" w:hAnsiTheme="minorHAnsi" w:cstheme="minorHAnsi"/>
          <w:lang w:val="en-US"/>
        </w:rPr>
        <w:t xml:space="preserve"> </w:t>
      </w:r>
      <w:r w:rsidR="003D51F0" w:rsidRPr="00E202E6">
        <w:rPr>
          <w:rFonts w:asciiTheme="minorHAnsi" w:hAnsiTheme="minorHAnsi" w:cstheme="minorHAnsi"/>
          <w:lang w:val="en-US"/>
        </w:rPr>
        <w:t xml:space="preserve">This translates to a 12% increase in orange exports (compared to 2020); 20% increase in soft citrus exports; 7% increase in lemon exports and 10% increase in grapefruit exports. </w:t>
      </w:r>
    </w:p>
    <w:p w:rsidR="00E202E6" w:rsidRDefault="00E202E6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 terms of southern hemisphere orchards, area under oranges (136 000 hectares) and grapefruit (13 400 </w:t>
      </w:r>
      <w:r w:rsidR="006B4E1B">
        <w:rPr>
          <w:rFonts w:asciiTheme="minorHAnsi" w:hAnsiTheme="minorHAnsi" w:cstheme="minorHAnsi"/>
          <w:lang w:val="en-US"/>
        </w:rPr>
        <w:t>ha</w:t>
      </w:r>
      <w:r>
        <w:rPr>
          <w:rFonts w:asciiTheme="minorHAnsi" w:hAnsiTheme="minorHAnsi" w:cstheme="minorHAnsi"/>
          <w:lang w:val="en-US"/>
        </w:rPr>
        <w:t xml:space="preserve">) are flat. Lemons have increased from 60 000 </w:t>
      </w:r>
      <w:r w:rsidR="006B4E1B">
        <w:rPr>
          <w:rFonts w:asciiTheme="minorHAnsi" w:hAnsiTheme="minorHAnsi" w:cstheme="minorHAnsi"/>
          <w:lang w:val="en-US"/>
        </w:rPr>
        <w:t>ha</w:t>
      </w:r>
      <w:r>
        <w:rPr>
          <w:rFonts w:asciiTheme="minorHAnsi" w:hAnsiTheme="minorHAnsi" w:cstheme="minorHAnsi"/>
          <w:lang w:val="en-US"/>
        </w:rPr>
        <w:t xml:space="preserve"> in 20112 to 86 000 </w:t>
      </w:r>
      <w:r w:rsidR="006B4E1B">
        <w:rPr>
          <w:rFonts w:asciiTheme="minorHAnsi" w:hAnsiTheme="minorHAnsi" w:cstheme="minorHAnsi"/>
          <w:lang w:val="en-US"/>
        </w:rPr>
        <w:t>ha</w:t>
      </w:r>
      <w:r>
        <w:rPr>
          <w:rFonts w:asciiTheme="minorHAnsi" w:hAnsiTheme="minorHAnsi" w:cstheme="minorHAnsi"/>
          <w:lang w:val="en-US"/>
        </w:rPr>
        <w:t xml:space="preserve"> in 2020. Similarly, soft citrus increased from 64 000 ha (2012) to 85 000 ha (2020).</w:t>
      </w:r>
    </w:p>
    <w:p w:rsidR="009D238D" w:rsidRDefault="009D238D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Turning to the northern hemisphere – 2020/21 will be an average to light crop. The </w:t>
      </w:r>
      <w:r w:rsidR="003E4827">
        <w:rPr>
          <w:rFonts w:asciiTheme="minorHAnsi" w:hAnsiTheme="minorHAnsi" w:cstheme="minorHAnsi"/>
          <w:lang w:val="en-US"/>
        </w:rPr>
        <w:t>Mediterranean</w:t>
      </w:r>
      <w:r>
        <w:rPr>
          <w:rFonts w:asciiTheme="minorHAnsi" w:hAnsiTheme="minorHAnsi" w:cstheme="minorHAnsi"/>
          <w:lang w:val="en-US"/>
        </w:rPr>
        <w:t xml:space="preserve"> countries production will be up </w:t>
      </w:r>
      <w:r w:rsidR="006B4E1B">
        <w:rPr>
          <w:rFonts w:asciiTheme="minorHAnsi" w:hAnsiTheme="minorHAnsi" w:cstheme="minorHAnsi"/>
          <w:lang w:val="en-US"/>
        </w:rPr>
        <w:t>3% over the 4-</w:t>
      </w:r>
      <w:r>
        <w:rPr>
          <w:rFonts w:asciiTheme="minorHAnsi" w:hAnsiTheme="minorHAnsi" w:cstheme="minorHAnsi"/>
          <w:lang w:val="en-US"/>
        </w:rPr>
        <w:t>year average; oranges down 6%; lemons down 4% and grapefruit down 13%. For the USA soft citrus production is down 2%; oranges up 3%; lemons up 5% and grapefruit down 9%. China production is little changed – no change in soft citrus and 1% increase in oranges.</w:t>
      </w:r>
    </w:p>
    <w:p w:rsidR="003D51F0" w:rsidRDefault="009D238D" w:rsidP="005D3D1D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="00E202E6">
        <w:rPr>
          <w:rFonts w:asciiTheme="minorHAnsi" w:hAnsiTheme="minorHAnsi" w:cstheme="minorHAnsi"/>
          <w:lang w:val="en-US"/>
        </w:rPr>
        <w:t xml:space="preserve">In terms of competing fruits Europe is forecasting a very short stone fruit crop. </w:t>
      </w:r>
    </w:p>
    <w:p w:rsidR="008A5702" w:rsidRPr="00603FFA" w:rsidRDefault="008A5702" w:rsidP="008A5702">
      <w:pPr>
        <w:spacing w:after="0"/>
        <w:rPr>
          <w:rFonts w:asciiTheme="minorHAnsi" w:eastAsia="Times New Roman" w:hAnsiTheme="minorHAnsi" w:cstheme="minorHAnsi"/>
          <w:b/>
          <w:color w:val="7030A0"/>
          <w:u w:val="single"/>
          <w:lang w:val="en-US"/>
        </w:rPr>
      </w:pPr>
      <w:r w:rsidRPr="00603FFA">
        <w:rPr>
          <w:rFonts w:asciiTheme="minorHAnsi" w:eastAsia="Times New Roman" w:hAnsiTheme="minorHAnsi" w:cstheme="minorHAnsi"/>
          <w:b/>
          <w:color w:val="7030A0"/>
          <w:u w:val="single"/>
          <w:lang w:val="en-US"/>
        </w:rPr>
        <w:t>PACKED AND SHIPPED</w:t>
      </w:r>
    </w:p>
    <w:p w:rsidR="00E80028" w:rsidRPr="00603FFA" w:rsidRDefault="006B4E1B" w:rsidP="008A5702">
      <w:pPr>
        <w:spacing w:after="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There have</w:t>
      </w:r>
      <w:bookmarkStart w:id="0" w:name="_GoBack"/>
      <w:bookmarkEnd w:id="0"/>
      <w:r w:rsidR="00E202E6">
        <w:rPr>
          <w:rFonts w:asciiTheme="minorHAnsi" w:eastAsia="Times New Roman" w:hAnsiTheme="minorHAnsi" w:cstheme="minorHAnsi"/>
          <w:lang w:val="en-US"/>
        </w:rPr>
        <w:t xml:space="preserve"> been some small movements in the 2021 predictions. Although oranges remain steady, the Grapefruit Focus Group dropped their prediction by 1 million cartons. With a small upward adjustment, the Soft Citrus Focus Group prediction remains 1 million cartons lower than estimate; while the Lemon Focus Group dropped predictions by 200 000 cartons.</w:t>
      </w:r>
    </w:p>
    <w:tbl>
      <w:tblPr>
        <w:tblpPr w:leftFromText="180" w:rightFromText="180" w:vertAnchor="text" w:horzAnchor="margin" w:tblpX="-176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7"/>
        <w:gridCol w:w="817"/>
        <w:gridCol w:w="817"/>
        <w:gridCol w:w="817"/>
        <w:gridCol w:w="877"/>
        <w:gridCol w:w="877"/>
        <w:gridCol w:w="1587"/>
        <w:gridCol w:w="1017"/>
        <w:gridCol w:w="1257"/>
      </w:tblGrid>
      <w:tr w:rsidR="00E202E6" w:rsidRPr="00901D81" w:rsidTr="001307F6">
        <w:trPr>
          <w:trHeight w:val="401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end Week 19</w:t>
            </w:r>
          </w:p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Million 15 Kg Cartons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 xml:space="preserve">Packed 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Packed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Packed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Shipped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Shipped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Original Estimate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Latest</w:t>
            </w:r>
          </w:p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Prediction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Final Packed</w:t>
            </w:r>
          </w:p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2E6" w:rsidRPr="00901D81" w:rsidTr="001307F6">
        <w:trPr>
          <w:trHeight w:val="200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1D81">
              <w:rPr>
                <w:rFonts w:ascii="Arial" w:hAnsi="Arial" w:cs="Arial"/>
                <w:b/>
                <w:sz w:val="18"/>
                <w:szCs w:val="18"/>
              </w:rPr>
              <w:t>SOURCE: PPECB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E202E6" w:rsidRPr="00901D81" w:rsidTr="001307F6">
        <w:trPr>
          <w:trHeight w:val="214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Grapefruit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 m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 m</w:t>
            </w:r>
          </w:p>
        </w:tc>
      </w:tr>
      <w:tr w:rsidR="00E202E6" w:rsidRPr="00901D81" w:rsidTr="001307F6">
        <w:trPr>
          <w:trHeight w:val="200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1D81">
              <w:rPr>
                <w:rFonts w:ascii="Arial" w:hAnsi="Arial" w:cs="Arial"/>
                <w:sz w:val="18"/>
                <w:szCs w:val="18"/>
              </w:rPr>
              <w:t>Soft Citrus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 m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 m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 m</w:t>
            </w:r>
          </w:p>
        </w:tc>
      </w:tr>
      <w:tr w:rsidR="00E202E6" w:rsidRPr="00901D81" w:rsidTr="001307F6">
        <w:trPr>
          <w:trHeight w:val="180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1D81">
              <w:rPr>
                <w:rFonts w:ascii="Arial" w:hAnsi="Arial" w:cs="Arial"/>
                <w:sz w:val="18"/>
                <w:szCs w:val="18"/>
                <w:lang w:val="fr-FR"/>
              </w:rPr>
              <w:t>Lemons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5.1 m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11.5 m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11.1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9.2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8.5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30.2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30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29.6 m</w:t>
            </w:r>
          </w:p>
        </w:tc>
      </w:tr>
      <w:tr w:rsidR="00E202E6" w:rsidRPr="00901D81" w:rsidTr="001307F6">
        <w:trPr>
          <w:trHeight w:val="200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1D81">
              <w:rPr>
                <w:rFonts w:ascii="Arial" w:hAnsi="Arial" w:cs="Arial"/>
                <w:sz w:val="18"/>
                <w:szCs w:val="18"/>
                <w:lang w:val="fr-FR"/>
              </w:rPr>
              <w:t>Navels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0.9 m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1.4 m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0.5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0.5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26.3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26.3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26.2 m</w:t>
            </w:r>
          </w:p>
        </w:tc>
      </w:tr>
      <w:tr w:rsidR="00E202E6" w:rsidRPr="00901D81" w:rsidTr="001307F6">
        <w:trPr>
          <w:trHeight w:val="245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1D81">
              <w:rPr>
                <w:rFonts w:ascii="Arial" w:hAnsi="Arial" w:cs="Arial"/>
                <w:sz w:val="18"/>
                <w:szCs w:val="18"/>
                <w:lang w:val="fr-FR"/>
              </w:rPr>
              <w:t>Valencia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 m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 m</w:t>
            </w:r>
          </w:p>
        </w:tc>
      </w:tr>
      <w:tr w:rsidR="00E202E6" w:rsidRPr="00901D81" w:rsidTr="001307F6">
        <w:trPr>
          <w:trHeight w:val="214"/>
        </w:trPr>
        <w:tc>
          <w:tcPr>
            <w:tcW w:w="2027" w:type="dxa"/>
          </w:tcPr>
          <w:p w:rsidR="00E202E6" w:rsidRPr="00901D81" w:rsidRDefault="00E202E6" w:rsidP="001307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 m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 m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 m</w:t>
            </w:r>
          </w:p>
        </w:tc>
        <w:tc>
          <w:tcPr>
            <w:tcW w:w="0" w:type="auto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 m</w:t>
            </w: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 m</w:t>
            </w: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E202E6" w:rsidRPr="00901D81" w:rsidRDefault="00E202E6" w:rsidP="001307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m</w:t>
            </w:r>
          </w:p>
        </w:tc>
      </w:tr>
    </w:tbl>
    <w:p w:rsidR="008A5702" w:rsidRDefault="008A5702" w:rsidP="008A5702"/>
    <w:p w:rsidR="00FF218A" w:rsidRPr="009B1F88" w:rsidRDefault="00FF218A" w:rsidP="00DD3A75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A25341" w:rsidRDefault="00A25341" w:rsidP="0043300C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sectPr w:rsidR="00A25341" w:rsidSect="00055F10">
      <w:footerReference w:type="default" r:id="rId8"/>
      <w:pgSz w:w="11906" w:h="16838"/>
      <w:pgMar w:top="720" w:right="720" w:bottom="720" w:left="72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5B" w:rsidRDefault="00FC025B" w:rsidP="00595E08">
      <w:pPr>
        <w:spacing w:after="0" w:line="240" w:lineRule="auto"/>
      </w:pPr>
      <w:r>
        <w:separator/>
      </w:r>
    </w:p>
  </w:endnote>
  <w:endnote w:type="continuationSeparator" w:id="0">
    <w:p w:rsidR="00FC025B" w:rsidRDefault="00FC025B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09" w:rsidRPr="00AD79A4" w:rsidRDefault="008E3E09">
    <w:pPr>
      <w:pStyle w:val="Footer"/>
      <w:rPr>
        <w:i/>
      </w:rPr>
    </w:pPr>
    <w:r w:rsidRPr="00AD79A4">
      <w:rPr>
        <w:b/>
        <w:i/>
        <w:color w:val="7030A0"/>
      </w:rPr>
      <w:t>THE CGA GROUP (CRI, RIVER BIOSCIENCE, XSIT, CGA CULTIVAR COMPANY, CGA GROWER DEVELOPMENT COMPANY &amp; CITRUS ACADEMY) ARE SUPPORTED BY AND WORK FOR THE SOUTHERN AFRICAN CITRUS GROWERS</w:t>
    </w:r>
  </w:p>
  <w:p w:rsidR="008E3E09" w:rsidRDefault="008E3E09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5B" w:rsidRDefault="00FC025B" w:rsidP="00595E08">
      <w:pPr>
        <w:spacing w:after="0" w:line="240" w:lineRule="auto"/>
      </w:pPr>
      <w:r>
        <w:separator/>
      </w:r>
    </w:p>
  </w:footnote>
  <w:footnote w:type="continuationSeparator" w:id="0">
    <w:p w:rsidR="00FC025B" w:rsidRDefault="00FC025B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A83"/>
    <w:multiLevelType w:val="hybridMultilevel"/>
    <w:tmpl w:val="27987A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0B78"/>
    <w:rsid w:val="00031C21"/>
    <w:rsid w:val="00040706"/>
    <w:rsid w:val="00045FE2"/>
    <w:rsid w:val="00047EA1"/>
    <w:rsid w:val="00055F10"/>
    <w:rsid w:val="00056DC1"/>
    <w:rsid w:val="000700EE"/>
    <w:rsid w:val="00070D40"/>
    <w:rsid w:val="00080B99"/>
    <w:rsid w:val="0008376F"/>
    <w:rsid w:val="00084741"/>
    <w:rsid w:val="000879DF"/>
    <w:rsid w:val="000928E8"/>
    <w:rsid w:val="000A258A"/>
    <w:rsid w:val="000A2A31"/>
    <w:rsid w:val="000A2F5C"/>
    <w:rsid w:val="000A39E7"/>
    <w:rsid w:val="000C10C1"/>
    <w:rsid w:val="000C4865"/>
    <w:rsid w:val="000C4B73"/>
    <w:rsid w:val="000C4E72"/>
    <w:rsid w:val="000D2F64"/>
    <w:rsid w:val="000D629E"/>
    <w:rsid w:val="000D7425"/>
    <w:rsid w:val="000E172C"/>
    <w:rsid w:val="000E541C"/>
    <w:rsid w:val="000E7748"/>
    <w:rsid w:val="000F059E"/>
    <w:rsid w:val="000F28FF"/>
    <w:rsid w:val="000F5B14"/>
    <w:rsid w:val="000F7D05"/>
    <w:rsid w:val="0010672A"/>
    <w:rsid w:val="00110F70"/>
    <w:rsid w:val="001118A3"/>
    <w:rsid w:val="0012042A"/>
    <w:rsid w:val="001218D8"/>
    <w:rsid w:val="00122FC7"/>
    <w:rsid w:val="00124699"/>
    <w:rsid w:val="00136127"/>
    <w:rsid w:val="00142E5B"/>
    <w:rsid w:val="0015485D"/>
    <w:rsid w:val="001549C2"/>
    <w:rsid w:val="00157186"/>
    <w:rsid w:val="00174465"/>
    <w:rsid w:val="00175573"/>
    <w:rsid w:val="00175734"/>
    <w:rsid w:val="001757E7"/>
    <w:rsid w:val="00176A66"/>
    <w:rsid w:val="00177BFC"/>
    <w:rsid w:val="00181B2D"/>
    <w:rsid w:val="00185357"/>
    <w:rsid w:val="00190EE1"/>
    <w:rsid w:val="001A29BD"/>
    <w:rsid w:val="001B1783"/>
    <w:rsid w:val="001B203D"/>
    <w:rsid w:val="001B673C"/>
    <w:rsid w:val="001C4A43"/>
    <w:rsid w:val="001C56F9"/>
    <w:rsid w:val="001C679B"/>
    <w:rsid w:val="001C723E"/>
    <w:rsid w:val="001D36FE"/>
    <w:rsid w:val="001D5666"/>
    <w:rsid w:val="001D573C"/>
    <w:rsid w:val="001D69A2"/>
    <w:rsid w:val="001D7278"/>
    <w:rsid w:val="001E45A1"/>
    <w:rsid w:val="001E6EFD"/>
    <w:rsid w:val="001E7475"/>
    <w:rsid w:val="0020144B"/>
    <w:rsid w:val="00205049"/>
    <w:rsid w:val="00211CCD"/>
    <w:rsid w:val="002139D0"/>
    <w:rsid w:val="002139DB"/>
    <w:rsid w:val="00216F83"/>
    <w:rsid w:val="002176D6"/>
    <w:rsid w:val="00220D8E"/>
    <w:rsid w:val="00225418"/>
    <w:rsid w:val="00230CA5"/>
    <w:rsid w:val="0023386D"/>
    <w:rsid w:val="002341C4"/>
    <w:rsid w:val="002350CC"/>
    <w:rsid w:val="0023735C"/>
    <w:rsid w:val="00244DA4"/>
    <w:rsid w:val="00246D78"/>
    <w:rsid w:val="00250E1D"/>
    <w:rsid w:val="002512C0"/>
    <w:rsid w:val="00267052"/>
    <w:rsid w:val="0027201C"/>
    <w:rsid w:val="0027721A"/>
    <w:rsid w:val="00280379"/>
    <w:rsid w:val="00280B32"/>
    <w:rsid w:val="00280BC7"/>
    <w:rsid w:val="00297526"/>
    <w:rsid w:val="002A3692"/>
    <w:rsid w:val="002A3E51"/>
    <w:rsid w:val="002A597D"/>
    <w:rsid w:val="002A5A13"/>
    <w:rsid w:val="002B3545"/>
    <w:rsid w:val="002B41CC"/>
    <w:rsid w:val="002C18E4"/>
    <w:rsid w:val="002C616B"/>
    <w:rsid w:val="002C65CD"/>
    <w:rsid w:val="002D122B"/>
    <w:rsid w:val="002D17EB"/>
    <w:rsid w:val="002D3448"/>
    <w:rsid w:val="002E1866"/>
    <w:rsid w:val="002F2B2B"/>
    <w:rsid w:val="002F2F8A"/>
    <w:rsid w:val="002F5CD3"/>
    <w:rsid w:val="0030169A"/>
    <w:rsid w:val="00313CB1"/>
    <w:rsid w:val="003170A8"/>
    <w:rsid w:val="0032546F"/>
    <w:rsid w:val="00325D4E"/>
    <w:rsid w:val="00331707"/>
    <w:rsid w:val="00337B83"/>
    <w:rsid w:val="003474D9"/>
    <w:rsid w:val="00350C01"/>
    <w:rsid w:val="00352FAF"/>
    <w:rsid w:val="00361029"/>
    <w:rsid w:val="00361403"/>
    <w:rsid w:val="00363F58"/>
    <w:rsid w:val="003736BF"/>
    <w:rsid w:val="0038002B"/>
    <w:rsid w:val="00380CC6"/>
    <w:rsid w:val="003858A1"/>
    <w:rsid w:val="003959C7"/>
    <w:rsid w:val="00397378"/>
    <w:rsid w:val="003A1DA8"/>
    <w:rsid w:val="003B09E4"/>
    <w:rsid w:val="003B3CE2"/>
    <w:rsid w:val="003B7DEC"/>
    <w:rsid w:val="003C0D53"/>
    <w:rsid w:val="003C27D4"/>
    <w:rsid w:val="003C4018"/>
    <w:rsid w:val="003D193B"/>
    <w:rsid w:val="003D51F0"/>
    <w:rsid w:val="003D6D62"/>
    <w:rsid w:val="003D70AB"/>
    <w:rsid w:val="003E3699"/>
    <w:rsid w:val="003E4827"/>
    <w:rsid w:val="003F0C6F"/>
    <w:rsid w:val="003F2574"/>
    <w:rsid w:val="003F6E31"/>
    <w:rsid w:val="003F7804"/>
    <w:rsid w:val="004030C3"/>
    <w:rsid w:val="004046F2"/>
    <w:rsid w:val="0040634F"/>
    <w:rsid w:val="004177C2"/>
    <w:rsid w:val="00426110"/>
    <w:rsid w:val="0043300C"/>
    <w:rsid w:val="00435D42"/>
    <w:rsid w:val="004435D9"/>
    <w:rsid w:val="004510C4"/>
    <w:rsid w:val="00452062"/>
    <w:rsid w:val="00455927"/>
    <w:rsid w:val="004645E1"/>
    <w:rsid w:val="004711F0"/>
    <w:rsid w:val="00471646"/>
    <w:rsid w:val="00473BDF"/>
    <w:rsid w:val="00473D01"/>
    <w:rsid w:val="004911D6"/>
    <w:rsid w:val="0049352B"/>
    <w:rsid w:val="00495189"/>
    <w:rsid w:val="00496A4F"/>
    <w:rsid w:val="004A0BC7"/>
    <w:rsid w:val="004A1073"/>
    <w:rsid w:val="004A371F"/>
    <w:rsid w:val="004B158E"/>
    <w:rsid w:val="004B20D5"/>
    <w:rsid w:val="004B33E5"/>
    <w:rsid w:val="004C29DE"/>
    <w:rsid w:val="004C3976"/>
    <w:rsid w:val="004C529E"/>
    <w:rsid w:val="004C73F2"/>
    <w:rsid w:val="004D222E"/>
    <w:rsid w:val="004D3ECA"/>
    <w:rsid w:val="004E0F63"/>
    <w:rsid w:val="004E3B59"/>
    <w:rsid w:val="004E60FC"/>
    <w:rsid w:val="004F122F"/>
    <w:rsid w:val="004F24A1"/>
    <w:rsid w:val="00502EEB"/>
    <w:rsid w:val="0050561C"/>
    <w:rsid w:val="00505C06"/>
    <w:rsid w:val="00506808"/>
    <w:rsid w:val="005121A0"/>
    <w:rsid w:val="00513E04"/>
    <w:rsid w:val="00522189"/>
    <w:rsid w:val="005330E2"/>
    <w:rsid w:val="005350A0"/>
    <w:rsid w:val="005369A5"/>
    <w:rsid w:val="00536B64"/>
    <w:rsid w:val="00540ACC"/>
    <w:rsid w:val="00541EB1"/>
    <w:rsid w:val="00546152"/>
    <w:rsid w:val="00547C6C"/>
    <w:rsid w:val="00562B1F"/>
    <w:rsid w:val="00566C56"/>
    <w:rsid w:val="0056775E"/>
    <w:rsid w:val="005678A0"/>
    <w:rsid w:val="00572AA0"/>
    <w:rsid w:val="005822CF"/>
    <w:rsid w:val="005854C5"/>
    <w:rsid w:val="005859D8"/>
    <w:rsid w:val="0058684F"/>
    <w:rsid w:val="005913D8"/>
    <w:rsid w:val="005948CD"/>
    <w:rsid w:val="00595E08"/>
    <w:rsid w:val="005B0116"/>
    <w:rsid w:val="005B21B9"/>
    <w:rsid w:val="005B3A73"/>
    <w:rsid w:val="005B4081"/>
    <w:rsid w:val="005B6970"/>
    <w:rsid w:val="005B78D0"/>
    <w:rsid w:val="005B7B5D"/>
    <w:rsid w:val="005B7B9E"/>
    <w:rsid w:val="005C0538"/>
    <w:rsid w:val="005C5D33"/>
    <w:rsid w:val="005C6117"/>
    <w:rsid w:val="005C6EF1"/>
    <w:rsid w:val="005D3D1D"/>
    <w:rsid w:val="005E05EF"/>
    <w:rsid w:val="005E29B8"/>
    <w:rsid w:val="005E62DC"/>
    <w:rsid w:val="005F2989"/>
    <w:rsid w:val="005F4137"/>
    <w:rsid w:val="005F6E38"/>
    <w:rsid w:val="00600B79"/>
    <w:rsid w:val="00601C02"/>
    <w:rsid w:val="00603FFA"/>
    <w:rsid w:val="006042E1"/>
    <w:rsid w:val="006046D7"/>
    <w:rsid w:val="0060721F"/>
    <w:rsid w:val="00611C22"/>
    <w:rsid w:val="00612231"/>
    <w:rsid w:val="00613228"/>
    <w:rsid w:val="00613C1F"/>
    <w:rsid w:val="006254FA"/>
    <w:rsid w:val="006302CB"/>
    <w:rsid w:val="00632C81"/>
    <w:rsid w:val="0063644A"/>
    <w:rsid w:val="006412FF"/>
    <w:rsid w:val="00641661"/>
    <w:rsid w:val="00646201"/>
    <w:rsid w:val="0064682B"/>
    <w:rsid w:val="00652548"/>
    <w:rsid w:val="00663769"/>
    <w:rsid w:val="00670FBB"/>
    <w:rsid w:val="0067189B"/>
    <w:rsid w:val="006737A5"/>
    <w:rsid w:val="0067446D"/>
    <w:rsid w:val="006832EE"/>
    <w:rsid w:val="006852F9"/>
    <w:rsid w:val="0068783E"/>
    <w:rsid w:val="00690E5D"/>
    <w:rsid w:val="006921BA"/>
    <w:rsid w:val="0069320C"/>
    <w:rsid w:val="0069350E"/>
    <w:rsid w:val="00695012"/>
    <w:rsid w:val="006A0B6E"/>
    <w:rsid w:val="006A5DD3"/>
    <w:rsid w:val="006A6345"/>
    <w:rsid w:val="006B22E7"/>
    <w:rsid w:val="006B4E1B"/>
    <w:rsid w:val="006C1559"/>
    <w:rsid w:val="006D3BE7"/>
    <w:rsid w:val="006E0A15"/>
    <w:rsid w:val="006E394D"/>
    <w:rsid w:val="006F29BD"/>
    <w:rsid w:val="006F43EB"/>
    <w:rsid w:val="00705569"/>
    <w:rsid w:val="007264AE"/>
    <w:rsid w:val="00726D85"/>
    <w:rsid w:val="00730CAC"/>
    <w:rsid w:val="00731F8B"/>
    <w:rsid w:val="00732CB3"/>
    <w:rsid w:val="007427D1"/>
    <w:rsid w:val="007547E0"/>
    <w:rsid w:val="00756469"/>
    <w:rsid w:val="00756592"/>
    <w:rsid w:val="00757321"/>
    <w:rsid w:val="00761318"/>
    <w:rsid w:val="00762C4F"/>
    <w:rsid w:val="007666C5"/>
    <w:rsid w:val="00771B83"/>
    <w:rsid w:val="00782381"/>
    <w:rsid w:val="007830CC"/>
    <w:rsid w:val="0078484E"/>
    <w:rsid w:val="007958FA"/>
    <w:rsid w:val="00795921"/>
    <w:rsid w:val="007A07FA"/>
    <w:rsid w:val="007A4310"/>
    <w:rsid w:val="007A4C30"/>
    <w:rsid w:val="007A5391"/>
    <w:rsid w:val="007A6F34"/>
    <w:rsid w:val="007A7155"/>
    <w:rsid w:val="007C298B"/>
    <w:rsid w:val="007D4D85"/>
    <w:rsid w:val="007D4E14"/>
    <w:rsid w:val="007E360C"/>
    <w:rsid w:val="007E6B47"/>
    <w:rsid w:val="007F6B60"/>
    <w:rsid w:val="008107A2"/>
    <w:rsid w:val="0081352C"/>
    <w:rsid w:val="0081487A"/>
    <w:rsid w:val="00823F18"/>
    <w:rsid w:val="00830C8C"/>
    <w:rsid w:val="00836320"/>
    <w:rsid w:val="008421EA"/>
    <w:rsid w:val="00843CDE"/>
    <w:rsid w:val="008441E2"/>
    <w:rsid w:val="0085105B"/>
    <w:rsid w:val="0085133F"/>
    <w:rsid w:val="00852AAD"/>
    <w:rsid w:val="00853DBC"/>
    <w:rsid w:val="008543FD"/>
    <w:rsid w:val="00860C1E"/>
    <w:rsid w:val="0086232D"/>
    <w:rsid w:val="008654A3"/>
    <w:rsid w:val="008662D2"/>
    <w:rsid w:val="0087221E"/>
    <w:rsid w:val="00874807"/>
    <w:rsid w:val="00874BAF"/>
    <w:rsid w:val="008755FB"/>
    <w:rsid w:val="008756F8"/>
    <w:rsid w:val="00893C68"/>
    <w:rsid w:val="00895BDC"/>
    <w:rsid w:val="008A0D72"/>
    <w:rsid w:val="008A2357"/>
    <w:rsid w:val="008A23F8"/>
    <w:rsid w:val="008A2BE9"/>
    <w:rsid w:val="008A3110"/>
    <w:rsid w:val="008A5702"/>
    <w:rsid w:val="008B1479"/>
    <w:rsid w:val="008B4C03"/>
    <w:rsid w:val="008B5FDB"/>
    <w:rsid w:val="008B7F6E"/>
    <w:rsid w:val="008C5508"/>
    <w:rsid w:val="008C78C6"/>
    <w:rsid w:val="008E1A19"/>
    <w:rsid w:val="008E3E09"/>
    <w:rsid w:val="008E40E0"/>
    <w:rsid w:val="008F2289"/>
    <w:rsid w:val="00912266"/>
    <w:rsid w:val="00912CD2"/>
    <w:rsid w:val="009206C6"/>
    <w:rsid w:val="0092158A"/>
    <w:rsid w:val="00940202"/>
    <w:rsid w:val="00947800"/>
    <w:rsid w:val="00951943"/>
    <w:rsid w:val="0095280D"/>
    <w:rsid w:val="00953EE0"/>
    <w:rsid w:val="00954793"/>
    <w:rsid w:val="00954DBD"/>
    <w:rsid w:val="00955884"/>
    <w:rsid w:val="00971B7F"/>
    <w:rsid w:val="0097764C"/>
    <w:rsid w:val="00992221"/>
    <w:rsid w:val="009A00A9"/>
    <w:rsid w:val="009A0E3D"/>
    <w:rsid w:val="009A1B72"/>
    <w:rsid w:val="009B1746"/>
    <w:rsid w:val="009B1F88"/>
    <w:rsid w:val="009C0212"/>
    <w:rsid w:val="009D0040"/>
    <w:rsid w:val="009D238D"/>
    <w:rsid w:val="009D33DC"/>
    <w:rsid w:val="009D709A"/>
    <w:rsid w:val="009D7FAF"/>
    <w:rsid w:val="009E4483"/>
    <w:rsid w:val="009F0F82"/>
    <w:rsid w:val="00A03E2F"/>
    <w:rsid w:val="00A066BE"/>
    <w:rsid w:val="00A132E6"/>
    <w:rsid w:val="00A20F03"/>
    <w:rsid w:val="00A219E2"/>
    <w:rsid w:val="00A24A2F"/>
    <w:rsid w:val="00A25341"/>
    <w:rsid w:val="00A31AD6"/>
    <w:rsid w:val="00A320B1"/>
    <w:rsid w:val="00A36102"/>
    <w:rsid w:val="00A40974"/>
    <w:rsid w:val="00A43B72"/>
    <w:rsid w:val="00A44ECB"/>
    <w:rsid w:val="00A46408"/>
    <w:rsid w:val="00A508B7"/>
    <w:rsid w:val="00A54595"/>
    <w:rsid w:val="00A751D8"/>
    <w:rsid w:val="00A837EA"/>
    <w:rsid w:val="00A86324"/>
    <w:rsid w:val="00A94119"/>
    <w:rsid w:val="00A958B0"/>
    <w:rsid w:val="00A96822"/>
    <w:rsid w:val="00AA07D0"/>
    <w:rsid w:val="00AA3687"/>
    <w:rsid w:val="00AA51FF"/>
    <w:rsid w:val="00AB0657"/>
    <w:rsid w:val="00AB46E7"/>
    <w:rsid w:val="00AB4C0D"/>
    <w:rsid w:val="00AB5EC1"/>
    <w:rsid w:val="00AB7955"/>
    <w:rsid w:val="00AC37AC"/>
    <w:rsid w:val="00AC3F8B"/>
    <w:rsid w:val="00AC7D19"/>
    <w:rsid w:val="00AD1C85"/>
    <w:rsid w:val="00AD79A4"/>
    <w:rsid w:val="00AE539F"/>
    <w:rsid w:val="00B0109A"/>
    <w:rsid w:val="00B04E97"/>
    <w:rsid w:val="00B06DA7"/>
    <w:rsid w:val="00B07E05"/>
    <w:rsid w:val="00B11F72"/>
    <w:rsid w:val="00B1434B"/>
    <w:rsid w:val="00B17128"/>
    <w:rsid w:val="00B31CDA"/>
    <w:rsid w:val="00B3410E"/>
    <w:rsid w:val="00B65EBE"/>
    <w:rsid w:val="00B673C4"/>
    <w:rsid w:val="00B84D8D"/>
    <w:rsid w:val="00B86765"/>
    <w:rsid w:val="00BA3973"/>
    <w:rsid w:val="00BA3CFA"/>
    <w:rsid w:val="00BA5B31"/>
    <w:rsid w:val="00BA69F3"/>
    <w:rsid w:val="00BB03E9"/>
    <w:rsid w:val="00BB0DE8"/>
    <w:rsid w:val="00BB2034"/>
    <w:rsid w:val="00BB2F61"/>
    <w:rsid w:val="00BB4B0B"/>
    <w:rsid w:val="00BB51E1"/>
    <w:rsid w:val="00BB6988"/>
    <w:rsid w:val="00BC0F93"/>
    <w:rsid w:val="00BC47DD"/>
    <w:rsid w:val="00BC7323"/>
    <w:rsid w:val="00BD141A"/>
    <w:rsid w:val="00BD293E"/>
    <w:rsid w:val="00BE1805"/>
    <w:rsid w:val="00BE7774"/>
    <w:rsid w:val="00BF0FF8"/>
    <w:rsid w:val="00BF156E"/>
    <w:rsid w:val="00BF1983"/>
    <w:rsid w:val="00BF3E3C"/>
    <w:rsid w:val="00C02E4C"/>
    <w:rsid w:val="00C10569"/>
    <w:rsid w:val="00C11C5D"/>
    <w:rsid w:val="00C13ADF"/>
    <w:rsid w:val="00C167F6"/>
    <w:rsid w:val="00C16839"/>
    <w:rsid w:val="00C20658"/>
    <w:rsid w:val="00C25111"/>
    <w:rsid w:val="00C2737B"/>
    <w:rsid w:val="00C32E5C"/>
    <w:rsid w:val="00C34A68"/>
    <w:rsid w:val="00C35B43"/>
    <w:rsid w:val="00C41489"/>
    <w:rsid w:val="00C41C65"/>
    <w:rsid w:val="00C455DE"/>
    <w:rsid w:val="00C46181"/>
    <w:rsid w:val="00C510B2"/>
    <w:rsid w:val="00C51114"/>
    <w:rsid w:val="00C62C71"/>
    <w:rsid w:val="00C77A09"/>
    <w:rsid w:val="00C81584"/>
    <w:rsid w:val="00C86158"/>
    <w:rsid w:val="00C878E2"/>
    <w:rsid w:val="00C9171B"/>
    <w:rsid w:val="00C92E66"/>
    <w:rsid w:val="00CA2B0B"/>
    <w:rsid w:val="00CA6ECC"/>
    <w:rsid w:val="00CB303A"/>
    <w:rsid w:val="00CC000B"/>
    <w:rsid w:val="00CE0436"/>
    <w:rsid w:val="00CE5103"/>
    <w:rsid w:val="00CE71FD"/>
    <w:rsid w:val="00CF5E26"/>
    <w:rsid w:val="00D00ED9"/>
    <w:rsid w:val="00D0558A"/>
    <w:rsid w:val="00D2092A"/>
    <w:rsid w:val="00D2116E"/>
    <w:rsid w:val="00D219B0"/>
    <w:rsid w:val="00D278A3"/>
    <w:rsid w:val="00D32A42"/>
    <w:rsid w:val="00D33202"/>
    <w:rsid w:val="00D361AB"/>
    <w:rsid w:val="00D3722B"/>
    <w:rsid w:val="00D410D1"/>
    <w:rsid w:val="00D41361"/>
    <w:rsid w:val="00D43608"/>
    <w:rsid w:val="00D456CC"/>
    <w:rsid w:val="00D478DE"/>
    <w:rsid w:val="00D56480"/>
    <w:rsid w:val="00D66358"/>
    <w:rsid w:val="00D66490"/>
    <w:rsid w:val="00D67D4B"/>
    <w:rsid w:val="00D81CCB"/>
    <w:rsid w:val="00D84A21"/>
    <w:rsid w:val="00D875E6"/>
    <w:rsid w:val="00D94669"/>
    <w:rsid w:val="00DA0CE9"/>
    <w:rsid w:val="00DB0052"/>
    <w:rsid w:val="00DB2C2C"/>
    <w:rsid w:val="00DB4748"/>
    <w:rsid w:val="00DB75AA"/>
    <w:rsid w:val="00DC0B1C"/>
    <w:rsid w:val="00DC1241"/>
    <w:rsid w:val="00DC4F50"/>
    <w:rsid w:val="00DD3275"/>
    <w:rsid w:val="00DD3A75"/>
    <w:rsid w:val="00DE100B"/>
    <w:rsid w:val="00DE396E"/>
    <w:rsid w:val="00DE58C6"/>
    <w:rsid w:val="00DF0150"/>
    <w:rsid w:val="00E01533"/>
    <w:rsid w:val="00E017AC"/>
    <w:rsid w:val="00E018E6"/>
    <w:rsid w:val="00E0676F"/>
    <w:rsid w:val="00E13E00"/>
    <w:rsid w:val="00E14724"/>
    <w:rsid w:val="00E202E6"/>
    <w:rsid w:val="00E31082"/>
    <w:rsid w:val="00E3323F"/>
    <w:rsid w:val="00E40090"/>
    <w:rsid w:val="00E43E76"/>
    <w:rsid w:val="00E5448E"/>
    <w:rsid w:val="00E5772E"/>
    <w:rsid w:val="00E62F08"/>
    <w:rsid w:val="00E6424C"/>
    <w:rsid w:val="00E66070"/>
    <w:rsid w:val="00E71DFE"/>
    <w:rsid w:val="00E80028"/>
    <w:rsid w:val="00E843E7"/>
    <w:rsid w:val="00E84CDC"/>
    <w:rsid w:val="00EA09AE"/>
    <w:rsid w:val="00EA49B2"/>
    <w:rsid w:val="00EA49C3"/>
    <w:rsid w:val="00EA50F1"/>
    <w:rsid w:val="00EA7106"/>
    <w:rsid w:val="00EA717C"/>
    <w:rsid w:val="00EB343C"/>
    <w:rsid w:val="00EC1B9D"/>
    <w:rsid w:val="00EC5A93"/>
    <w:rsid w:val="00EC600D"/>
    <w:rsid w:val="00ED209B"/>
    <w:rsid w:val="00EE00D6"/>
    <w:rsid w:val="00EE395A"/>
    <w:rsid w:val="00EF1109"/>
    <w:rsid w:val="00EF40E1"/>
    <w:rsid w:val="00F00E30"/>
    <w:rsid w:val="00F03251"/>
    <w:rsid w:val="00F2008A"/>
    <w:rsid w:val="00F208EC"/>
    <w:rsid w:val="00F26119"/>
    <w:rsid w:val="00F3153F"/>
    <w:rsid w:val="00F3231D"/>
    <w:rsid w:val="00F34519"/>
    <w:rsid w:val="00F40554"/>
    <w:rsid w:val="00F432FE"/>
    <w:rsid w:val="00F440B1"/>
    <w:rsid w:val="00F443E3"/>
    <w:rsid w:val="00F454F9"/>
    <w:rsid w:val="00F50DDA"/>
    <w:rsid w:val="00F55830"/>
    <w:rsid w:val="00F57F49"/>
    <w:rsid w:val="00F62B0F"/>
    <w:rsid w:val="00F64027"/>
    <w:rsid w:val="00F6437C"/>
    <w:rsid w:val="00F679DE"/>
    <w:rsid w:val="00F83F1A"/>
    <w:rsid w:val="00F867C4"/>
    <w:rsid w:val="00F915E8"/>
    <w:rsid w:val="00F936DB"/>
    <w:rsid w:val="00F94E88"/>
    <w:rsid w:val="00FA03BD"/>
    <w:rsid w:val="00FA06B9"/>
    <w:rsid w:val="00FA1295"/>
    <w:rsid w:val="00FA1DC3"/>
    <w:rsid w:val="00FA3D2B"/>
    <w:rsid w:val="00FA3EDC"/>
    <w:rsid w:val="00FA6F1F"/>
    <w:rsid w:val="00FA7DB0"/>
    <w:rsid w:val="00FB3BE0"/>
    <w:rsid w:val="00FB3EF7"/>
    <w:rsid w:val="00FB792D"/>
    <w:rsid w:val="00FC025B"/>
    <w:rsid w:val="00FC28AD"/>
    <w:rsid w:val="00FC36D2"/>
    <w:rsid w:val="00FC5148"/>
    <w:rsid w:val="00FC5BD0"/>
    <w:rsid w:val="00FD5F83"/>
    <w:rsid w:val="00FE48E7"/>
    <w:rsid w:val="00FE7527"/>
    <w:rsid w:val="00FE7729"/>
    <w:rsid w:val="00FF1311"/>
    <w:rsid w:val="00FF218A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3AE18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68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1311"/>
    <w:rPr>
      <w:i/>
      <w:iCs/>
    </w:rPr>
  </w:style>
  <w:style w:type="character" w:styleId="Strong">
    <w:name w:val="Strong"/>
    <w:basedOn w:val="DefaultParagraphFont"/>
    <w:uiPriority w:val="22"/>
    <w:qFormat/>
    <w:rsid w:val="00FF1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Justin</cp:lastModifiedBy>
  <cp:revision>7</cp:revision>
  <cp:lastPrinted>2021-05-21T09:55:00Z</cp:lastPrinted>
  <dcterms:created xsi:type="dcterms:W3CDTF">2021-05-20T13:38:00Z</dcterms:created>
  <dcterms:modified xsi:type="dcterms:W3CDTF">2021-05-21T09:56:00Z</dcterms:modified>
</cp:coreProperties>
</file>