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50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526"/>
      </w:tblGrid>
      <w:tr w:rsidR="00F553C7" w:rsidRPr="00901D81" w:rsidTr="00B578F6">
        <w:trPr>
          <w:trHeight w:val="15677"/>
          <w:tblCellSpacing w:w="0" w:type="dxa"/>
        </w:trPr>
        <w:tc>
          <w:tcPr>
            <w:tcW w:w="10526" w:type="dxa"/>
            <w:shd w:val="clear" w:color="auto" w:fill="auto"/>
            <w:vAlign w:val="center"/>
          </w:tcPr>
          <w:tbl>
            <w:tblPr>
              <w:tblW w:w="10946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46"/>
            </w:tblGrid>
            <w:tr w:rsidR="00F553C7" w:rsidRPr="008C6E3A" w:rsidTr="005F6297">
              <w:trPr>
                <w:trHeight w:val="1044"/>
                <w:tblCellSpacing w:w="0" w:type="dxa"/>
              </w:trPr>
              <w:tc>
                <w:tcPr>
                  <w:tcW w:w="1094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863E32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(20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)</w:t>
                                        </w:r>
                                      </w:p>
                                      <w:p w:rsidR="00044293" w:rsidRPr="00753377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3377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6B457B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Justin Chadwick </w:t>
                                        </w:r>
                                        <w:r w:rsidR="00863E32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18</w:t>
                                        </w:r>
                                        <w:r w:rsidR="008279B2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May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863E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(20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44293" w:rsidRPr="00753377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75337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6B457B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Justin Chadwick </w:t>
                                  </w:r>
                                  <w:r w:rsidR="00863E32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8279B2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5F6297">
              <w:trPr>
                <w:trHeight w:val="33"/>
                <w:tblCellSpacing w:w="0" w:type="dxa"/>
              </w:trPr>
              <w:tc>
                <w:tcPr>
                  <w:tcW w:w="10946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116B96" w:rsidRDefault="00D42FAB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</w:pPr>
            <w:r w:rsidRPr="00726C93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“</w:t>
            </w:r>
            <w:r w:rsidR="002D1063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Nobody is superior, nobody is inferior, but nobody is equal either. People are simply unique, incomparable. You are you, I am I.” Osho</w:t>
            </w:r>
          </w:p>
          <w:p w:rsidR="002D1063" w:rsidRPr="002D1063" w:rsidRDefault="002D1063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2B2DC3" w:rsidRPr="00863E32" w:rsidRDefault="00863E32" w:rsidP="002B2DC3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 w:rsidRPr="00863E32"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2018 EXPORT QUALITY STANDARDS HAVE BEEN GAZETTED</w:t>
            </w:r>
          </w:p>
          <w:p w:rsidR="00863E32" w:rsidRDefault="00863E32" w:rsidP="00863E32">
            <w:pPr>
              <w:rPr>
                <w:rFonts w:ascii="Arial" w:hAnsi="Arial" w:cs="Arial"/>
                <w:lang w:val="en-US"/>
              </w:rPr>
            </w:pPr>
            <w:r w:rsidRPr="00863E32">
              <w:rPr>
                <w:rFonts w:ascii="Arial" w:hAnsi="Arial" w:cs="Arial"/>
              </w:rPr>
              <w:t>DAFF’s Directorate of Food Safety and Quality Assurance is responsible for setting and implementing the export quality standards for citrus.  On 11 May 2018</w:t>
            </w:r>
            <w:r>
              <w:rPr>
                <w:rFonts w:ascii="Arial" w:hAnsi="Arial" w:cs="Arial"/>
              </w:rPr>
              <w:t>,</w:t>
            </w:r>
            <w:r w:rsidRPr="00863E32">
              <w:rPr>
                <w:rFonts w:ascii="Arial" w:hAnsi="Arial" w:cs="Arial"/>
              </w:rPr>
              <w:t xml:space="preserve"> the recently gazetted citrus export standards for the 2018 season came into effect.  The amended standards can be found at the following link: </w:t>
            </w:r>
            <w:hyperlink r:id="rId7" w:history="1">
              <w:r w:rsidRPr="00863E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http://www.daff.gov.za/daffweb3/Branches/Agricultural-Production-Health-Food-Safety/Food-Safety-Quality-Assurance/Export-Standards/Citrus-and-Subtropical-Fruit/Citrus-fruit</w:t>
              </w:r>
            </w:hyperlink>
            <w:r w:rsidRPr="00863E32">
              <w:rPr>
                <w:rFonts w:ascii="Arial" w:hAnsi="Arial" w:cs="Arial"/>
                <w:lang w:val="en-US"/>
              </w:rPr>
              <w:t> </w:t>
            </w:r>
            <w:r w:rsidR="00123C84">
              <w:rPr>
                <w:rFonts w:ascii="Arial" w:hAnsi="Arial" w:cs="Arial"/>
                <w:lang w:val="en-US"/>
              </w:rPr>
              <w:t>.</w:t>
            </w:r>
            <w:r w:rsidRPr="00863E32">
              <w:rPr>
                <w:rFonts w:ascii="Arial" w:hAnsi="Arial" w:cs="Arial"/>
                <w:lang w:val="en-US"/>
              </w:rPr>
              <w:t xml:space="preserve"> The main changes to the export standard relate to: 1) the addition of new cultivars to the tables of cultivar names and their carton indications, 2) tolerance for mandarins/soft citrus to the USA, and 3) fruit size requirements for FE1 grapefruit.</w:t>
            </w:r>
          </w:p>
          <w:p w:rsidR="00E02C62" w:rsidRDefault="00E02C62" w:rsidP="00E02C62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EXPORT DESTINATION OF SOUTHERN AFRICAN CITRUS</w:t>
            </w:r>
          </w:p>
          <w:p w:rsidR="00E02C62" w:rsidRPr="00E02C62" w:rsidRDefault="00E02C62" w:rsidP="00E02C62">
            <w:pPr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In the year 2005, 38% of southern African citrus exports went to Western Europe, and 14% to the UK. By 2010, Western Europe had dropped to 35% and the UK to 11%. Last year they accounted for 33% and 10% respectively. The </w:t>
            </w:r>
            <w:r w:rsidR="00123C84">
              <w:rPr>
                <w:rFonts w:ascii="Arial" w:eastAsia="Times New Roman" w:hAnsi="Arial" w:cs="Arial"/>
                <w:lang w:val="en-US"/>
              </w:rPr>
              <w:t>combined volume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82CFF">
              <w:rPr>
                <w:rFonts w:ascii="Arial" w:eastAsia="Times New Roman" w:hAnsi="Arial" w:cs="Arial"/>
                <w:lang w:val="en-US"/>
              </w:rPr>
              <w:t xml:space="preserve">to EU </w:t>
            </w:r>
            <w:r>
              <w:rPr>
                <w:rFonts w:ascii="Arial" w:eastAsia="Times New Roman" w:hAnsi="Arial" w:cs="Arial"/>
                <w:lang w:val="en-US"/>
              </w:rPr>
              <w:t xml:space="preserve">had dropped </w:t>
            </w:r>
            <w:r w:rsidR="00E82CFF">
              <w:rPr>
                <w:rFonts w:ascii="Arial" w:eastAsia="Times New Roman" w:hAnsi="Arial" w:cs="Arial"/>
                <w:lang w:val="en-US"/>
              </w:rPr>
              <w:t xml:space="preserve">from 52% to 43%. </w:t>
            </w:r>
            <w:r>
              <w:rPr>
                <w:rFonts w:ascii="Arial" w:eastAsia="Times New Roman" w:hAnsi="Arial" w:cs="Arial"/>
                <w:lang w:val="en-US"/>
              </w:rPr>
              <w:t xml:space="preserve">Eastern Europe (mostly Russia) increased from 7 to 15% between 2005 and 2010, before dropping down to 9% last year. </w:t>
            </w:r>
            <w:r w:rsidR="005153A6">
              <w:rPr>
                <w:rFonts w:ascii="Arial" w:eastAsia="Times New Roman" w:hAnsi="Arial" w:cs="Arial"/>
                <w:lang w:val="en-US"/>
              </w:rPr>
              <w:t xml:space="preserve">The Middle East initially grew from 2005 to 2010 (17 to 21%), before dropping to 18% in 2017. The largest growth took place in Asia – although there was a decrease from 17% to 14% between 2005 and 2010, there was growth to 2017 at 24%. </w:t>
            </w:r>
            <w:r>
              <w:rPr>
                <w:rFonts w:ascii="Arial" w:eastAsia="Times New Roman" w:hAnsi="Arial" w:cs="Arial"/>
                <w:lang w:val="en-US"/>
              </w:rPr>
              <w:t xml:space="preserve">The north American share remained </w:t>
            </w:r>
            <w:r w:rsidR="00123C84">
              <w:rPr>
                <w:rFonts w:ascii="Arial" w:eastAsia="Times New Roman" w:hAnsi="Arial" w:cs="Arial"/>
                <w:lang w:val="en-US"/>
              </w:rPr>
              <w:t>static</w:t>
            </w:r>
            <w:r>
              <w:rPr>
                <w:rFonts w:ascii="Arial" w:eastAsia="Times New Roman" w:hAnsi="Arial" w:cs="Arial"/>
                <w:lang w:val="en-US"/>
              </w:rPr>
              <w:t xml:space="preserve">; 7% in 2005, </w:t>
            </w:r>
            <w:r w:rsidR="005153A6">
              <w:rPr>
                <w:rFonts w:ascii="Arial" w:eastAsia="Times New Roman" w:hAnsi="Arial" w:cs="Arial"/>
                <w:lang w:val="en-US"/>
              </w:rPr>
              <w:t xml:space="preserve">5% in 2010 and 6% last year. </w:t>
            </w:r>
          </w:p>
          <w:p w:rsidR="00B578F6" w:rsidRDefault="00E02C62" w:rsidP="005153A6">
            <w:pPr>
              <w:rPr>
                <w:rFonts w:ascii="Arial" w:eastAsia="Times New Roman" w:hAnsi="Arial" w:cs="Arial"/>
                <w:color w:val="0070C0"/>
                <w:lang w:val="en-US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307C693C" wp14:editId="2FDDE183">
                  <wp:extent cx="2032000" cy="1462050"/>
                  <wp:effectExtent l="0" t="0" r="635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190" cy="156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drawing>
                <wp:inline distT="0" distB="0" distL="0" distR="0" wp14:anchorId="702D34A1" wp14:editId="114907EA">
                  <wp:extent cx="2159000" cy="1476413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121" cy="1544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drawing>
                <wp:inline distT="0" distB="0" distL="0" distR="0" wp14:anchorId="4C85E78F" wp14:editId="48112779">
                  <wp:extent cx="2260600" cy="1448728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194" cy="154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0F98" w:rsidRDefault="002C0F98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</w:p>
          <w:p w:rsidR="00C7514B" w:rsidRDefault="001001B8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PACKED AND SHIPPED</w:t>
            </w:r>
          </w:p>
          <w:p w:rsidR="005153A6" w:rsidRDefault="005153A6" w:rsidP="001001B8">
            <w:pPr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Ten million cartons (150 000 tons) of citrus has now been shipped – with lemons accounting for 50% of the volume shipped. </w:t>
            </w:r>
            <w:r w:rsidR="002C0F98">
              <w:rPr>
                <w:rFonts w:ascii="Arial" w:eastAsia="Times New Roman" w:hAnsi="Arial" w:cs="Arial"/>
                <w:lang w:val="en-US"/>
              </w:rPr>
              <w:t xml:space="preserve">Middle East is the premier destination with 47%, followed by EU 17%, Asia 16% and Russia 14%. </w:t>
            </w:r>
            <w:r>
              <w:rPr>
                <w:rFonts w:ascii="Arial" w:eastAsia="Times New Roman" w:hAnsi="Arial" w:cs="Arial"/>
                <w:lang w:val="en-US"/>
              </w:rPr>
              <w:t>Grapefruit and soft citrus each contribute 25%, with negligible volumes of navels shipped to date.</w:t>
            </w:r>
            <w:r w:rsidR="002C0F98">
              <w:rPr>
                <w:rFonts w:ascii="Arial" w:eastAsia="Times New Roman" w:hAnsi="Arial" w:cs="Arial"/>
                <w:lang w:val="en-US"/>
              </w:rPr>
              <w:t xml:space="preserve"> Grapefruit has mostly been sent to EU (57%) and Asia (31%). Soft citrus has been shipped to EU (62%) and Russia (22%).</w:t>
            </w:r>
          </w:p>
          <w:p w:rsidR="00E82CFF" w:rsidRDefault="00E82CFF" w:rsidP="001001B8">
            <w:pPr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Rain in the northern and eastern regions of the citrus industry will have slowed packing during the past week.</w:t>
            </w:r>
          </w:p>
          <w:p w:rsidR="0024350F" w:rsidRPr="005153A6" w:rsidRDefault="0024350F" w:rsidP="001001B8">
            <w:pPr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</w:p>
          <w:tbl>
            <w:tblPr>
              <w:tblpPr w:leftFromText="180" w:rightFromText="180" w:vertAnchor="text" w:horzAnchor="margin" w:tblpX="-176" w:tblpY="20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A82A0A" w:rsidTr="00464C33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9201C1" w:rsidP="00A82A0A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sz w:val="18"/>
                      <w:szCs w:val="18"/>
                    </w:rPr>
                    <w:t>To Week 19</w:t>
                  </w:r>
                </w:p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SOURCE: PPECB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A82A0A" w:rsidTr="00464C33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5.3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4.3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2.8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C5592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16.5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3.6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3.3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16.2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A82A0A" w:rsidTr="00464C33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5.4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5.8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6.7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4.2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C7514B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20.3</w:t>
                  </w:r>
                  <w:r w:rsidR="00A82A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2.5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1.5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1.2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0.5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0.4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A82A0A" w:rsidTr="00464C33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464C33" w:rsidTr="00464C33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24350F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15.5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9.7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9201C1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C5592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132.6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  <w:bookmarkEnd w:id="0"/>
            <w:bookmarkEnd w:id="1"/>
          </w:tbl>
          <w:p w:rsidR="0024350F" w:rsidRDefault="002435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A44C4" w:rsidRPr="009E35CC" w:rsidRDefault="008D69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GA GROUP OF COMPANIES </w:t>
            </w:r>
            <w:r w:rsidR="00106E5C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(CRI, RIVER BIOSCIENCE, XSIT, 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CGA CULTIVAR COMPANY, CG</w:t>
            </w:r>
            <w:r w:rsidR="009C2513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GROWER DEVELOPMENT COMPANY &amp;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CITRUS ACADEMY) ARE FUNDED BY</w:t>
            </w:r>
            <w:r w:rsidR="002500B2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D155B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SOUTHERN AFRICAN CITRUS GROWERS </w:t>
            </w:r>
          </w:p>
        </w:tc>
      </w:tr>
    </w:tbl>
    <w:p w:rsidR="00F553C7" w:rsidRPr="003363E1" w:rsidRDefault="00F553C7" w:rsidP="004A7F1C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590B87">
      <w:pgSz w:w="11906" w:h="16838" w:code="9"/>
      <w:pgMar w:top="23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F3C"/>
    <w:rsid w:val="0006507E"/>
    <w:rsid w:val="00065BD7"/>
    <w:rsid w:val="00065D8C"/>
    <w:rsid w:val="0006671B"/>
    <w:rsid w:val="00067139"/>
    <w:rsid w:val="000703F0"/>
    <w:rsid w:val="000718D8"/>
    <w:rsid w:val="00072002"/>
    <w:rsid w:val="00072545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6B2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01B8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F99"/>
    <w:rsid w:val="0015724E"/>
    <w:rsid w:val="00160F4C"/>
    <w:rsid w:val="0016126F"/>
    <w:rsid w:val="00162A6B"/>
    <w:rsid w:val="00162D5F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60E5"/>
    <w:rsid w:val="001F64E2"/>
    <w:rsid w:val="001F77B2"/>
    <w:rsid w:val="0020067C"/>
    <w:rsid w:val="00201013"/>
    <w:rsid w:val="002041ED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50F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B0339"/>
    <w:rsid w:val="003B0BAA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6653"/>
    <w:rsid w:val="004F76FF"/>
    <w:rsid w:val="004F7833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E19"/>
    <w:rsid w:val="00546F69"/>
    <w:rsid w:val="00547A72"/>
    <w:rsid w:val="00550CCC"/>
    <w:rsid w:val="00551E51"/>
    <w:rsid w:val="0055289B"/>
    <w:rsid w:val="005532CC"/>
    <w:rsid w:val="00555B8C"/>
    <w:rsid w:val="00556180"/>
    <w:rsid w:val="0055794F"/>
    <w:rsid w:val="00561449"/>
    <w:rsid w:val="00562C0C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0B87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81B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6C93"/>
    <w:rsid w:val="007277B2"/>
    <w:rsid w:val="00730B2E"/>
    <w:rsid w:val="00730E9D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3654"/>
    <w:rsid w:val="008E3ABC"/>
    <w:rsid w:val="008E3EC6"/>
    <w:rsid w:val="008E4A89"/>
    <w:rsid w:val="008E585B"/>
    <w:rsid w:val="008E7F06"/>
    <w:rsid w:val="008F0A61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350B"/>
    <w:rsid w:val="00934640"/>
    <w:rsid w:val="0093681B"/>
    <w:rsid w:val="00936EA3"/>
    <w:rsid w:val="00936FC3"/>
    <w:rsid w:val="009403C1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77621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740"/>
    <w:rsid w:val="00A94BA7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64E3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2442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26EE"/>
    <w:rsid w:val="00B4285B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514B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0A10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4FC2"/>
    <w:rsid w:val="00E65260"/>
    <w:rsid w:val="00E6642B"/>
    <w:rsid w:val="00E717D8"/>
    <w:rsid w:val="00E719F4"/>
    <w:rsid w:val="00E7205D"/>
    <w:rsid w:val="00E76592"/>
    <w:rsid w:val="00E7717D"/>
    <w:rsid w:val="00E80953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806"/>
    <w:rsid w:val="00ED4605"/>
    <w:rsid w:val="00ED5254"/>
    <w:rsid w:val="00ED5F84"/>
    <w:rsid w:val="00ED6629"/>
    <w:rsid w:val="00ED7447"/>
    <w:rsid w:val="00EE1441"/>
    <w:rsid w:val="00EE1E28"/>
    <w:rsid w:val="00EE49BD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6D01"/>
    <w:rsid w:val="00FC6D8B"/>
    <w:rsid w:val="00FD011C"/>
    <w:rsid w:val="00FD05F0"/>
    <w:rsid w:val="00FD107B"/>
    <w:rsid w:val="00FD155B"/>
    <w:rsid w:val="00FD1913"/>
    <w:rsid w:val="00FD1BF4"/>
    <w:rsid w:val="00FD2F3F"/>
    <w:rsid w:val="00FD50F1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941261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daff.gov.za/daffweb3/Branches/Agricultural-Production-Health-Food-Safety/Food-Safety-Quality-Assurance/Export-Standards/Citrus-and-Subtropical-Fruit/Citrus-fru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9A25-DB74-4666-ABF0-4659773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Justin</cp:lastModifiedBy>
  <cp:revision>9</cp:revision>
  <cp:lastPrinted>2018-02-15T09:27:00Z</cp:lastPrinted>
  <dcterms:created xsi:type="dcterms:W3CDTF">2018-05-14T09:14:00Z</dcterms:created>
  <dcterms:modified xsi:type="dcterms:W3CDTF">2018-05-18T14:25:00Z</dcterms:modified>
</cp:coreProperties>
</file>