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498" w:type="pct"/>
        <w:tblCellSpacing w:w="0" w:type="dxa"/>
        <w:tblInd w:w="-743" w:type="dxa"/>
        <w:tblLayout w:type="fixed"/>
        <w:tblCellMar>
          <w:top w:w="15" w:type="dxa"/>
          <w:bottom w:w="15" w:type="dxa"/>
        </w:tblCellMar>
        <w:tblLook w:val="00A0" w:firstRow="1" w:lastRow="0" w:firstColumn="1" w:lastColumn="0" w:noHBand="0" w:noVBand="0"/>
      </w:tblPr>
      <w:tblGrid>
        <w:gridCol w:w="10242"/>
      </w:tblGrid>
      <w:tr w:rsidR="00F553C7" w:rsidRPr="00901D81" w:rsidTr="00842DC6">
        <w:trPr>
          <w:trHeight w:val="15677"/>
          <w:tblCellSpacing w:w="0" w:type="dxa"/>
        </w:trPr>
        <w:tc>
          <w:tcPr>
            <w:tcW w:w="10242" w:type="dxa"/>
            <w:shd w:val="clear" w:color="auto" w:fill="auto"/>
            <w:vAlign w:val="center"/>
          </w:tcPr>
          <w:tbl>
            <w:tblPr>
              <w:tblW w:w="10354"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354"/>
            </w:tblGrid>
            <w:tr w:rsidR="00F553C7" w:rsidRPr="008C6E3A" w:rsidTr="0032083B">
              <w:trPr>
                <w:trHeight w:val="1091"/>
                <w:tblCellSpacing w:w="0" w:type="dxa"/>
              </w:trPr>
              <w:tc>
                <w:tcPr>
                  <w:tcW w:w="10354"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B312CB">
                                          <w:rPr>
                                            <w:rFonts w:ascii="Comic Sans MS" w:hAnsi="Comic Sans MS"/>
                                            <w:b/>
                                            <w:i/>
                                            <w:sz w:val="32"/>
                                            <w:szCs w:val="32"/>
                                          </w:rPr>
                                          <w:t xml:space="preserve"> (48</w:t>
                                        </w:r>
                                        <w:r>
                                          <w:rPr>
                                            <w:rFonts w:ascii="Comic Sans MS" w:hAnsi="Comic Sans MS"/>
                                            <w:b/>
                                            <w:i/>
                                            <w:sz w:val="32"/>
                                            <w:szCs w:val="32"/>
                                          </w:rPr>
                                          <w:t>/17)</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B312CB">
                                          <w:rPr>
                                            <w:rFonts w:ascii="Comic Sans MS" w:hAnsi="Comic Sans MS"/>
                                            <w:i/>
                                            <w:sz w:val="20"/>
                                            <w:szCs w:val="20"/>
                                          </w:rPr>
                                          <w:t>15</w:t>
                                        </w:r>
                                        <w:r>
                                          <w:rPr>
                                            <w:rFonts w:ascii="Comic Sans MS" w:hAnsi="Comic Sans MS"/>
                                            <w:i/>
                                            <w:sz w:val="20"/>
                                            <w:szCs w:val="20"/>
                                          </w:rPr>
                                          <w:t xml:space="preserve"> December</w:t>
                                        </w:r>
                                        <w:r w:rsidR="00783644">
                                          <w:rPr>
                                            <w:rFonts w:ascii="Comic Sans MS" w:hAnsi="Comic Sans MS"/>
                                            <w:i/>
                                            <w:sz w:val="20"/>
                                            <w:szCs w:val="20"/>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B312CB">
                                    <w:rPr>
                                      <w:rFonts w:ascii="Comic Sans MS" w:hAnsi="Comic Sans MS"/>
                                      <w:b/>
                                      <w:i/>
                                      <w:sz w:val="32"/>
                                      <w:szCs w:val="32"/>
                                    </w:rPr>
                                    <w:t xml:space="preserve"> (48</w:t>
                                  </w:r>
                                  <w:r>
                                    <w:rPr>
                                      <w:rFonts w:ascii="Comic Sans MS" w:hAnsi="Comic Sans MS"/>
                                      <w:b/>
                                      <w:i/>
                                      <w:sz w:val="32"/>
                                      <w:szCs w:val="32"/>
                                    </w:rPr>
                                    <w:t>/17)</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B312CB">
                                    <w:rPr>
                                      <w:rFonts w:ascii="Comic Sans MS" w:hAnsi="Comic Sans MS"/>
                                      <w:i/>
                                      <w:sz w:val="20"/>
                                      <w:szCs w:val="20"/>
                                    </w:rPr>
                                    <w:t>15</w:t>
                                  </w:r>
                                  <w:r>
                                    <w:rPr>
                                      <w:rFonts w:ascii="Comic Sans MS" w:hAnsi="Comic Sans MS"/>
                                      <w:i/>
                                      <w:sz w:val="20"/>
                                      <w:szCs w:val="20"/>
                                    </w:rPr>
                                    <w:t xml:space="preserve"> December</w:t>
                                  </w:r>
                                  <w:r w:rsidR="00783644">
                                    <w:rPr>
                                      <w:rFonts w:ascii="Comic Sans MS" w:hAnsi="Comic Sans MS"/>
                                      <w:i/>
                                      <w:sz w:val="20"/>
                                      <w:szCs w:val="20"/>
                                    </w:rPr>
                                    <w:t xml:space="preserve"> 2017</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32083B">
              <w:trPr>
                <w:trHeight w:val="35"/>
                <w:tblCellSpacing w:w="0" w:type="dxa"/>
              </w:trPr>
              <w:tc>
                <w:tcPr>
                  <w:tcW w:w="10354"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802937" w:rsidRPr="0032083B" w:rsidRDefault="00D42FAB" w:rsidP="00A4284E">
            <w:pPr>
              <w:spacing w:after="0"/>
              <w:rPr>
                <w:rFonts w:ascii="Arial" w:eastAsia="Times New Roman" w:hAnsi="Arial" w:cs="Arial"/>
                <w:b/>
                <w:i/>
                <w:color w:val="181818"/>
                <w:sz w:val="24"/>
                <w:szCs w:val="24"/>
                <w:lang w:val="en-US"/>
              </w:rPr>
            </w:pPr>
            <w:r w:rsidRPr="0032083B">
              <w:rPr>
                <w:rFonts w:ascii="Arial" w:eastAsia="Times New Roman" w:hAnsi="Arial" w:cs="Arial"/>
                <w:b/>
                <w:i/>
                <w:color w:val="181818"/>
                <w:sz w:val="24"/>
                <w:szCs w:val="24"/>
                <w:lang w:val="en-US"/>
              </w:rPr>
              <w:t>“</w:t>
            </w:r>
            <w:r w:rsidR="00FC199B">
              <w:rPr>
                <w:rFonts w:ascii="Arial" w:eastAsia="Times New Roman" w:hAnsi="Arial" w:cs="Arial"/>
                <w:b/>
                <w:i/>
                <w:color w:val="181818"/>
                <w:sz w:val="24"/>
                <w:szCs w:val="24"/>
                <w:lang w:val="en-US"/>
              </w:rPr>
              <w:t>Life is like riding a bicycle. To keep balancing you must keep moving” Albert Einstein</w:t>
            </w:r>
          </w:p>
          <w:p w:rsidR="00802937" w:rsidRPr="00802937" w:rsidRDefault="00802937" w:rsidP="00A4284E">
            <w:pPr>
              <w:spacing w:after="0"/>
              <w:rPr>
                <w:rFonts w:ascii="Arial" w:eastAsia="Times New Roman" w:hAnsi="Arial" w:cs="Arial"/>
                <w:b/>
                <w:i/>
                <w:color w:val="181818"/>
                <w:sz w:val="6"/>
                <w:szCs w:val="6"/>
                <w:lang w:val="en-US"/>
              </w:rPr>
            </w:pPr>
          </w:p>
          <w:p w:rsidR="00346FD1" w:rsidRDefault="00150244" w:rsidP="00A4284E">
            <w:pPr>
              <w:spacing w:after="0"/>
              <w:rPr>
                <w:rFonts w:ascii="Arial" w:eastAsia="Times New Roman" w:hAnsi="Arial" w:cs="Arial"/>
                <w:b/>
                <w:color w:val="C45911" w:themeColor="accent2" w:themeShade="BF"/>
                <w:sz w:val="24"/>
                <w:szCs w:val="24"/>
                <w:u w:val="single"/>
                <w:lang w:val="en-US"/>
              </w:rPr>
            </w:pPr>
            <w:r>
              <w:rPr>
                <w:rFonts w:ascii="Arial" w:eastAsia="Times New Roman" w:hAnsi="Arial" w:cs="Arial"/>
                <w:b/>
                <w:color w:val="C45911" w:themeColor="accent2" w:themeShade="BF"/>
                <w:sz w:val="24"/>
                <w:szCs w:val="24"/>
                <w:u w:val="single"/>
                <w:lang w:val="en-US"/>
              </w:rPr>
              <w:t>SOFT CITRUS REVIEW</w:t>
            </w:r>
          </w:p>
          <w:p w:rsidR="00E378A9" w:rsidRDefault="00842DC6" w:rsidP="00A4284E">
            <w:pPr>
              <w:spacing w:after="0"/>
              <w:rPr>
                <w:rFonts w:ascii="Arial" w:eastAsia="Times New Roman" w:hAnsi="Arial" w:cs="Arial"/>
                <w:lang w:val="en-US"/>
              </w:rPr>
            </w:pPr>
            <w:r>
              <w:rPr>
                <w:rFonts w:ascii="Arial" w:eastAsia="Times New Roman" w:hAnsi="Arial" w:cs="Arial"/>
                <w:lang w:val="en-US"/>
              </w:rPr>
              <w:t xml:space="preserve">Most significant citrus producing and exporting countries around the globe have built their industry on the back of soft citrus – unlike South Africa which is dominated by the orange category. This is beginning to change as both the local market and export prices attract more growers to the category. </w:t>
            </w:r>
          </w:p>
          <w:p w:rsidR="00F619E7" w:rsidRPr="009D3B47" w:rsidRDefault="00F619E7" w:rsidP="00A4284E">
            <w:pPr>
              <w:spacing w:after="0"/>
              <w:rPr>
                <w:rFonts w:ascii="Arial" w:eastAsia="Times New Roman" w:hAnsi="Arial" w:cs="Arial"/>
                <w:lang w:val="en-US"/>
              </w:rPr>
            </w:pPr>
            <w:r>
              <w:rPr>
                <w:rFonts w:ascii="Arial" w:eastAsia="Times New Roman" w:hAnsi="Arial" w:cs="Arial"/>
                <w:lang w:val="en-US"/>
              </w:rPr>
              <w:t xml:space="preserve">Soft citrus is not a great fruit for processing – as reflected in the erratic and low processed prices. Generally, soft citrus are categorized as satsuma, clementine and mandarin types. The satsuma types have remained static at around 1.7 to 1.9 million </w:t>
            </w:r>
            <w:r w:rsidR="00FC199B">
              <w:rPr>
                <w:rFonts w:ascii="Arial" w:eastAsia="Times New Roman" w:hAnsi="Arial" w:cs="Arial"/>
                <w:lang w:val="en-US"/>
              </w:rPr>
              <w:t xml:space="preserve">export </w:t>
            </w:r>
            <w:r>
              <w:rPr>
                <w:rFonts w:ascii="Arial" w:eastAsia="Times New Roman" w:hAnsi="Arial" w:cs="Arial"/>
                <w:lang w:val="en-US"/>
              </w:rPr>
              <w:t>cartons over the past three years, while clementine’s have increased from 5.7 million in 2015 to 8.8 million</w:t>
            </w:r>
            <w:r w:rsidR="00FC199B">
              <w:rPr>
                <w:rFonts w:ascii="Arial" w:eastAsia="Times New Roman" w:hAnsi="Arial" w:cs="Arial"/>
                <w:lang w:val="en-US"/>
              </w:rPr>
              <w:t xml:space="preserve"> export cartons</w:t>
            </w:r>
            <w:r>
              <w:rPr>
                <w:rFonts w:ascii="Arial" w:eastAsia="Times New Roman" w:hAnsi="Arial" w:cs="Arial"/>
                <w:lang w:val="en-US"/>
              </w:rPr>
              <w:t xml:space="preserve"> in 2017 (a 50% increase). The mandarin category has increased by 35% from 9.9 million to 13.4 million </w:t>
            </w:r>
            <w:r w:rsidR="00FC199B">
              <w:rPr>
                <w:rFonts w:ascii="Arial" w:eastAsia="Times New Roman" w:hAnsi="Arial" w:cs="Arial"/>
                <w:lang w:val="en-US"/>
              </w:rPr>
              <w:t xml:space="preserve">export </w:t>
            </w:r>
            <w:r>
              <w:rPr>
                <w:rFonts w:ascii="Arial" w:eastAsia="Times New Roman" w:hAnsi="Arial" w:cs="Arial"/>
                <w:lang w:val="en-US"/>
              </w:rPr>
              <w:t>cartons; watch this space as this category will continue to grow.</w:t>
            </w:r>
          </w:p>
          <w:p w:rsidR="00E378A9" w:rsidRDefault="007E6449" w:rsidP="008A1087">
            <w:pPr>
              <w:spacing w:after="0"/>
              <w:jc w:val="both"/>
              <w:rPr>
                <w:rFonts w:ascii="Arial" w:hAnsi="Arial" w:cs="Arial"/>
                <w:b/>
                <w:bCs/>
                <w:color w:val="C45911" w:themeColor="accent2" w:themeShade="BF"/>
                <w:sz w:val="24"/>
                <w:szCs w:val="24"/>
                <w:u w:val="single"/>
              </w:rPr>
            </w:pPr>
            <w:r>
              <w:rPr>
                <w:noProof/>
                <w:lang w:eastAsia="en-ZA"/>
              </w:rPr>
              <w:drawing>
                <wp:inline distT="0" distB="0" distL="0" distR="0" wp14:anchorId="3E26D7C2" wp14:editId="1239DB42">
                  <wp:extent cx="2147299" cy="2609215"/>
                  <wp:effectExtent l="0" t="0" r="5715"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842DC6">
              <w:rPr>
                <w:noProof/>
                <w:lang w:eastAsia="en-ZA"/>
              </w:rPr>
              <w:drawing>
                <wp:inline distT="0" distB="0" distL="0" distR="0" wp14:anchorId="6AB377CC" wp14:editId="618B3CEB">
                  <wp:extent cx="2044557" cy="2609215"/>
                  <wp:effectExtent l="0" t="0" r="13335" b="63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842DC6">
              <w:rPr>
                <w:noProof/>
                <w:lang w:eastAsia="en-ZA"/>
              </w:rPr>
              <w:drawing>
                <wp:inline distT="0" distB="0" distL="0" distR="0" wp14:anchorId="0957B873" wp14:editId="26128E90">
                  <wp:extent cx="2033905" cy="2609635"/>
                  <wp:effectExtent l="0" t="0" r="4445" b="6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1087" w:rsidRPr="00250625" w:rsidRDefault="00E865AC" w:rsidP="008A1087">
            <w:pPr>
              <w:spacing w:after="0"/>
              <w:jc w:val="both"/>
              <w:rPr>
                <w:rFonts w:ascii="Arial" w:hAnsi="Arial" w:cs="Arial"/>
                <w:b/>
                <w:bCs/>
                <w:color w:val="C45911" w:themeColor="accent2" w:themeShade="BF"/>
                <w:sz w:val="24"/>
                <w:szCs w:val="24"/>
                <w:u w:val="single"/>
              </w:rPr>
            </w:pPr>
            <w:r w:rsidRPr="00E865AC">
              <w:rPr>
                <w:rFonts w:ascii="Arial" w:hAnsi="Arial" w:cs="Arial"/>
                <w:noProof/>
                <w:sz w:val="6"/>
                <w:szCs w:val="6"/>
                <w:lang w:eastAsia="en-ZA"/>
              </w:rPr>
              <mc:AlternateContent>
                <mc:Choice Requires="wps">
                  <w:drawing>
                    <wp:anchor distT="45720" distB="45720" distL="114300" distR="114300" simplePos="0" relativeHeight="251662336" behindDoc="0" locked="0" layoutInCell="1" allowOverlap="1">
                      <wp:simplePos x="0" y="0"/>
                      <wp:positionH relativeFrom="column">
                        <wp:posOffset>4112260</wp:posOffset>
                      </wp:positionH>
                      <wp:positionV relativeFrom="paragraph">
                        <wp:posOffset>142875</wp:posOffset>
                      </wp:positionV>
                      <wp:extent cx="2260600" cy="2372360"/>
                      <wp:effectExtent l="0" t="0" r="2540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2372360"/>
                              </a:xfrm>
                              <a:prstGeom prst="rect">
                                <a:avLst/>
                              </a:prstGeom>
                              <a:solidFill>
                                <a:srgbClr val="FFFFFF"/>
                              </a:solidFill>
                              <a:ln w="9525">
                                <a:solidFill>
                                  <a:srgbClr val="000000"/>
                                </a:solidFill>
                                <a:miter lim="800000"/>
                                <a:headEnd/>
                                <a:tailEnd/>
                              </a:ln>
                            </wps:spPr>
                            <wps:txbx>
                              <w:txbxContent>
                                <w:p w:rsidR="0095425E" w:rsidRPr="0002327A" w:rsidRDefault="00F619E7" w:rsidP="0002327A">
                                  <w:pPr>
                                    <w:spacing w:after="0"/>
                                    <w:rPr>
                                      <w:rFonts w:ascii="Arial" w:hAnsi="Arial" w:cs="Arial"/>
                                      <w:sz w:val="21"/>
                                      <w:szCs w:val="21"/>
                                    </w:rPr>
                                  </w:pPr>
                                  <w:r>
                                    <w:rPr>
                                      <w:rFonts w:ascii="Arial" w:hAnsi="Arial" w:cs="Arial"/>
                                      <w:sz w:val="21"/>
                                      <w:szCs w:val="21"/>
                                    </w:rPr>
                                    <w:t>Since 2010, growers have developed an appetite for planting soft citrus, with plantings increasing threefold. Most of these plantings have been in the later mandarin varieties. There are also some new growers to the category whose tree census has not been captured, and so the area is likely to be even hig</w:t>
                                  </w:r>
                                  <w:r w:rsidR="00FD011C">
                                    <w:rPr>
                                      <w:rFonts w:ascii="Arial" w:hAnsi="Arial" w:cs="Arial"/>
                                      <w:sz w:val="21"/>
                                      <w:szCs w:val="21"/>
                                    </w:rPr>
                                    <w:t>her. By 2014, the increased area</w:t>
                                  </w:r>
                                  <w:r>
                                    <w:rPr>
                                      <w:rFonts w:ascii="Arial" w:hAnsi="Arial" w:cs="Arial"/>
                                      <w:sz w:val="21"/>
                                      <w:szCs w:val="21"/>
                                    </w:rPr>
                                    <w:t xml:space="preserve"> started to influence export volumes – with record volumes experienced in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3.8pt;margin-top:11.25pt;width:178pt;height:186.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">
                      <v:textbox>
                        <w:txbxContent>
                          <w:p w:rsidR="0095425E" w:rsidRPr="0002327A" w:rsidRDefault="00F619E7" w:rsidP="0002327A">
                            <w:pPr>
                              <w:spacing w:after="0"/>
                              <w:rPr>
                                <w:rFonts w:ascii="Arial" w:hAnsi="Arial" w:cs="Arial"/>
                                <w:sz w:val="21"/>
                                <w:szCs w:val="21"/>
                              </w:rPr>
                            </w:pPr>
                            <w:r>
                              <w:rPr>
                                <w:rFonts w:ascii="Arial" w:hAnsi="Arial" w:cs="Arial"/>
                                <w:sz w:val="21"/>
                                <w:szCs w:val="21"/>
                              </w:rPr>
                              <w:t>Since 2010, growers have developed an appetite for planting soft citrus, with plantings increasing threefold. Most of these plantings have been in the later mandarin varieties. There are also some new growers to the category whose tree census has not been captured, and so the area is likely to be even hig</w:t>
                            </w:r>
                            <w:r w:rsidR="00FD011C">
                              <w:rPr>
                                <w:rFonts w:ascii="Arial" w:hAnsi="Arial" w:cs="Arial"/>
                                <w:sz w:val="21"/>
                                <w:szCs w:val="21"/>
                              </w:rPr>
                              <w:t>her. By 2014, the increased area</w:t>
                            </w:r>
                            <w:r>
                              <w:rPr>
                                <w:rFonts w:ascii="Arial" w:hAnsi="Arial" w:cs="Arial"/>
                                <w:sz w:val="21"/>
                                <w:szCs w:val="21"/>
                              </w:rPr>
                              <w:t xml:space="preserve"> started to influence export volumes – with record volumes experienced in 2017.</w:t>
                            </w:r>
                          </w:p>
                        </w:txbxContent>
                      </v:textbox>
                      <w10:wrap type="square"/>
                    </v:shape>
                  </w:pict>
                </mc:Fallback>
              </mc:AlternateContent>
            </w:r>
            <w:r w:rsidR="009A1402">
              <w:rPr>
                <w:rFonts w:ascii="Arial" w:hAnsi="Arial" w:cs="Arial"/>
                <w:b/>
                <w:bCs/>
                <w:color w:val="C45911" w:themeColor="accent2" w:themeShade="BF"/>
                <w:sz w:val="24"/>
                <w:szCs w:val="24"/>
                <w:u w:val="single"/>
              </w:rPr>
              <w:t>LONG TERM CHANGES</w:t>
            </w:r>
          </w:p>
          <w:p w:rsidR="0032083B" w:rsidRPr="0032083B" w:rsidRDefault="00150244" w:rsidP="00D42FAB">
            <w:pPr>
              <w:spacing w:after="0"/>
              <w:jc w:val="both"/>
              <w:rPr>
                <w:rFonts w:ascii="Arial" w:hAnsi="Arial" w:cs="Arial"/>
                <w:sz w:val="6"/>
                <w:szCs w:val="6"/>
                <w:lang w:val="en-US"/>
              </w:rPr>
            </w:pPr>
            <w:r>
              <w:rPr>
                <w:noProof/>
                <w:lang w:eastAsia="en-ZA"/>
              </w:rPr>
              <w:drawing>
                <wp:inline distT="0" distB="0" distL="0" distR="0" wp14:anchorId="0338A0A8" wp14:editId="22635FE6">
                  <wp:extent cx="1993186" cy="2321560"/>
                  <wp:effectExtent l="0" t="0" r="7620" b="25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Pr>
                <w:noProof/>
                <w:lang w:eastAsia="en-ZA"/>
              </w:rPr>
              <w:drawing>
                <wp:inline distT="0" distB="0" distL="0" distR="0" wp14:anchorId="43FF8600" wp14:editId="430BFA38">
                  <wp:extent cx="1941195" cy="2321560"/>
                  <wp:effectExtent l="0" t="0" r="1905" b="25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65AC" w:rsidRDefault="00FB4D88" w:rsidP="00E865AC">
            <w:pPr>
              <w:spacing w:after="0"/>
              <w:rPr>
                <w:rFonts w:ascii="Arial" w:hAnsi="Arial" w:cs="Arial"/>
                <w:b/>
                <w:bCs/>
                <w:color w:val="C45911" w:themeColor="accent2" w:themeShade="BF"/>
                <w:sz w:val="24"/>
                <w:szCs w:val="24"/>
                <w:u w:val="single"/>
              </w:rPr>
            </w:pPr>
            <w:r>
              <w:rPr>
                <w:rFonts w:ascii="Arial" w:hAnsi="Arial" w:cs="Arial"/>
                <w:b/>
                <w:bCs/>
                <w:color w:val="C45911" w:themeColor="accent2" w:themeShade="BF"/>
                <w:sz w:val="24"/>
                <w:szCs w:val="24"/>
                <w:u w:val="single"/>
              </w:rPr>
              <w:t>SOFT CITRUS</w:t>
            </w:r>
            <w:r w:rsidR="00E865AC">
              <w:rPr>
                <w:rFonts w:ascii="Arial" w:hAnsi="Arial" w:cs="Arial"/>
                <w:b/>
                <w:bCs/>
                <w:color w:val="C45911" w:themeColor="accent2" w:themeShade="BF"/>
                <w:sz w:val="24"/>
                <w:szCs w:val="24"/>
                <w:u w:val="single"/>
              </w:rPr>
              <w:t xml:space="preserve"> SHIPPING 2017</w:t>
            </w:r>
          </w:p>
          <w:p w:rsidR="00E865AC" w:rsidRPr="0002327A" w:rsidRDefault="00FB4D88" w:rsidP="006B457B">
            <w:pPr>
              <w:spacing w:after="0"/>
              <w:rPr>
                <w:rFonts w:ascii="Arial" w:hAnsi="Arial" w:cs="Arial"/>
                <w:b/>
                <w:color w:val="FF0000"/>
                <w:sz w:val="20"/>
                <w:szCs w:val="20"/>
              </w:rPr>
            </w:pPr>
            <w:r>
              <w:rPr>
                <w:rFonts w:ascii="Arial" w:hAnsi="Arial" w:cs="Arial"/>
                <w:bCs/>
                <w:sz w:val="20"/>
                <w:szCs w:val="20"/>
              </w:rPr>
              <w:t xml:space="preserve">The UK remains the most popular destination for southern African soft citrus – with 4 million cartons in 2016 and 2017. Exports to the remainder of the EU also remained static at </w:t>
            </w:r>
            <w:r w:rsidR="00520BB2">
              <w:rPr>
                <w:rFonts w:ascii="Arial" w:hAnsi="Arial" w:cs="Arial"/>
                <w:bCs/>
                <w:sz w:val="20"/>
                <w:szCs w:val="20"/>
              </w:rPr>
              <w:t>3.2 million cartons. Four regions were at the 1 million carton mark in 2016; Eastern Europe (predominantly Russia) grew to 1.4 million</w:t>
            </w:r>
            <w:r w:rsidR="00FC199B">
              <w:rPr>
                <w:rFonts w:ascii="Arial" w:hAnsi="Arial" w:cs="Arial"/>
                <w:bCs/>
                <w:sz w:val="20"/>
                <w:szCs w:val="20"/>
              </w:rPr>
              <w:t xml:space="preserve"> in 2017</w:t>
            </w:r>
            <w:r w:rsidR="00520BB2">
              <w:rPr>
                <w:rFonts w:ascii="Arial" w:hAnsi="Arial" w:cs="Arial"/>
                <w:bCs/>
                <w:sz w:val="20"/>
                <w:szCs w:val="20"/>
              </w:rPr>
              <w:t>, South East Asia to 1.3 million and North America to 1.2 million. Middle East remained at 1 million</w:t>
            </w:r>
            <w:r w:rsidR="00FC199B">
              <w:rPr>
                <w:rFonts w:ascii="Arial" w:hAnsi="Arial" w:cs="Arial"/>
                <w:bCs/>
                <w:sz w:val="20"/>
                <w:szCs w:val="20"/>
              </w:rPr>
              <w:t xml:space="preserve"> for the 2017 season</w:t>
            </w:r>
            <w:bookmarkStart w:id="0" w:name="_GoBack"/>
            <w:bookmarkEnd w:id="0"/>
            <w:r w:rsidR="00520BB2">
              <w:rPr>
                <w:rFonts w:ascii="Arial" w:hAnsi="Arial" w:cs="Arial"/>
                <w:bCs/>
                <w:sz w:val="20"/>
                <w:szCs w:val="20"/>
              </w:rPr>
              <w:t xml:space="preserve">. </w:t>
            </w:r>
          </w:p>
          <w:p w:rsidR="00E865AC" w:rsidRDefault="00E865AC" w:rsidP="00AA44C4">
            <w:pPr>
              <w:spacing w:after="0"/>
              <w:jc w:val="center"/>
              <w:rPr>
                <w:rFonts w:ascii="Arial" w:hAnsi="Arial" w:cs="Arial"/>
                <w:b/>
                <w:color w:val="FF0000"/>
                <w:sz w:val="18"/>
                <w:szCs w:val="18"/>
              </w:rPr>
            </w:pPr>
          </w:p>
          <w:p w:rsidR="00AA44C4" w:rsidRPr="00AA44C4" w:rsidRDefault="00787727" w:rsidP="00AA44C4">
            <w:pPr>
              <w:spacing w:after="0"/>
              <w:jc w:val="center"/>
              <w:rPr>
                <w:rFonts w:ascii="Arial" w:hAnsi="Arial" w:cs="Arial"/>
                <w:b/>
                <w:color w:val="FF0000"/>
                <w:sz w:val="18"/>
                <w:szCs w:val="18"/>
              </w:rPr>
            </w:pPr>
            <w:r w:rsidRPr="00A05611">
              <w:rPr>
                <w:rFonts w:ascii="Arial" w:hAnsi="Arial" w:cs="Arial"/>
                <w:b/>
                <w:color w:val="FF0000"/>
                <w:sz w:val="18"/>
                <w:szCs w:val="18"/>
              </w:rPr>
              <w:t xml:space="preserve">THE CGA GROUP OF COMPANIES </w:t>
            </w:r>
            <w:r w:rsidR="00106E5C" w:rsidRPr="00A05611">
              <w:rPr>
                <w:rFonts w:ascii="Arial" w:hAnsi="Arial" w:cs="Arial"/>
                <w:b/>
                <w:color w:val="FF0000"/>
                <w:sz w:val="18"/>
                <w:szCs w:val="18"/>
              </w:rPr>
              <w:t xml:space="preserve">(CRI, RIVER BIOSCIENCE, XSIT, </w:t>
            </w:r>
            <w:r w:rsidRPr="00A05611">
              <w:rPr>
                <w:rFonts w:ascii="Arial" w:hAnsi="Arial" w:cs="Arial"/>
                <w:b/>
                <w:color w:val="FF0000"/>
                <w:sz w:val="18"/>
                <w:szCs w:val="18"/>
              </w:rPr>
              <w:t>CGA CULTIVAR COMPANY, CG</w:t>
            </w:r>
            <w:r w:rsidR="009C2513" w:rsidRPr="00A05611">
              <w:rPr>
                <w:rFonts w:ascii="Arial" w:hAnsi="Arial" w:cs="Arial"/>
                <w:b/>
                <w:color w:val="FF0000"/>
                <w:sz w:val="18"/>
                <w:szCs w:val="18"/>
              </w:rPr>
              <w:t>A GROWER DEVELOPMENT COMPANY &amp;</w:t>
            </w:r>
            <w:r w:rsidRPr="00A05611">
              <w:rPr>
                <w:rFonts w:ascii="Arial" w:hAnsi="Arial" w:cs="Arial"/>
                <w:b/>
                <w:color w:val="FF0000"/>
                <w:sz w:val="18"/>
                <w:szCs w:val="18"/>
              </w:rPr>
              <w:t xml:space="preserve"> CITRUS ACADEMY) ARE FUNDED BY</w:t>
            </w:r>
            <w:r w:rsidR="002500B2" w:rsidRPr="00A05611">
              <w:rPr>
                <w:rFonts w:ascii="Arial" w:hAnsi="Arial" w:cs="Arial"/>
                <w:b/>
                <w:color w:val="FF0000"/>
                <w:sz w:val="18"/>
                <w:szCs w:val="18"/>
              </w:rPr>
              <w:t xml:space="preserve"> </w:t>
            </w:r>
            <w:r w:rsidR="00FD155B" w:rsidRPr="00A05611">
              <w:rPr>
                <w:rFonts w:ascii="Arial" w:hAnsi="Arial" w:cs="Arial"/>
                <w:b/>
                <w:color w:val="FF0000"/>
                <w:sz w:val="18"/>
                <w:szCs w:val="18"/>
              </w:rPr>
              <w:t xml:space="preserve">SOUTHERN AFRICAN CITRUS GROWERS </w:t>
            </w:r>
          </w:p>
        </w:tc>
      </w:tr>
    </w:tbl>
    <w:p w:rsidR="00F553C7" w:rsidRPr="003363E1" w:rsidRDefault="00F553C7" w:rsidP="001C5927">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5pt;height:120.35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2E64"/>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84C"/>
    <w:rsid w:val="00055AC2"/>
    <w:rsid w:val="00055AD9"/>
    <w:rsid w:val="00060122"/>
    <w:rsid w:val="00061C0E"/>
    <w:rsid w:val="00064F3C"/>
    <w:rsid w:val="0006507E"/>
    <w:rsid w:val="00065BD7"/>
    <w:rsid w:val="00065D8C"/>
    <w:rsid w:val="0006671B"/>
    <w:rsid w:val="000703F0"/>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0244"/>
    <w:rsid w:val="001550E1"/>
    <w:rsid w:val="00156F99"/>
    <w:rsid w:val="0015724E"/>
    <w:rsid w:val="00160F4C"/>
    <w:rsid w:val="0016126F"/>
    <w:rsid w:val="00162A6B"/>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3E07"/>
    <w:rsid w:val="003A47D6"/>
    <w:rsid w:val="003A4F71"/>
    <w:rsid w:val="003A58F2"/>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EB6"/>
    <w:rsid w:val="004210A1"/>
    <w:rsid w:val="004216CF"/>
    <w:rsid w:val="00422D42"/>
    <w:rsid w:val="00423390"/>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6D42"/>
    <w:rsid w:val="004912EB"/>
    <w:rsid w:val="004924C0"/>
    <w:rsid w:val="00493F7E"/>
    <w:rsid w:val="0049484D"/>
    <w:rsid w:val="004966D9"/>
    <w:rsid w:val="00497FB0"/>
    <w:rsid w:val="004A1D00"/>
    <w:rsid w:val="004A249C"/>
    <w:rsid w:val="004A6374"/>
    <w:rsid w:val="004A7885"/>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0BB2"/>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57B"/>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4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2DC6"/>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8770B"/>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2638"/>
    <w:rsid w:val="00922AFB"/>
    <w:rsid w:val="00922DC7"/>
    <w:rsid w:val="00923692"/>
    <w:rsid w:val="00923D73"/>
    <w:rsid w:val="00927400"/>
    <w:rsid w:val="0093149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7DD2"/>
    <w:rsid w:val="0097070B"/>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7D0"/>
    <w:rsid w:val="009D3B47"/>
    <w:rsid w:val="009D5423"/>
    <w:rsid w:val="009D6610"/>
    <w:rsid w:val="009D7302"/>
    <w:rsid w:val="009D7F54"/>
    <w:rsid w:val="009E0491"/>
    <w:rsid w:val="009E104C"/>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807E0"/>
    <w:rsid w:val="00A80A11"/>
    <w:rsid w:val="00A810E2"/>
    <w:rsid w:val="00A851D6"/>
    <w:rsid w:val="00A86FD3"/>
    <w:rsid w:val="00A90EFF"/>
    <w:rsid w:val="00A91F61"/>
    <w:rsid w:val="00A92740"/>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12CB"/>
    <w:rsid w:val="00B337C9"/>
    <w:rsid w:val="00B34867"/>
    <w:rsid w:val="00B3583A"/>
    <w:rsid w:val="00B372C8"/>
    <w:rsid w:val="00B376A7"/>
    <w:rsid w:val="00B40D74"/>
    <w:rsid w:val="00B40F79"/>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F80"/>
    <w:rsid w:val="00C32435"/>
    <w:rsid w:val="00C33118"/>
    <w:rsid w:val="00C341B8"/>
    <w:rsid w:val="00C342C5"/>
    <w:rsid w:val="00C34877"/>
    <w:rsid w:val="00C36713"/>
    <w:rsid w:val="00C3744E"/>
    <w:rsid w:val="00C375EC"/>
    <w:rsid w:val="00C37617"/>
    <w:rsid w:val="00C404B1"/>
    <w:rsid w:val="00C40625"/>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717D"/>
    <w:rsid w:val="00E80953"/>
    <w:rsid w:val="00E8177F"/>
    <w:rsid w:val="00E8306E"/>
    <w:rsid w:val="00E83960"/>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1060"/>
    <w:rsid w:val="00EC12B2"/>
    <w:rsid w:val="00EC12D1"/>
    <w:rsid w:val="00EC244E"/>
    <w:rsid w:val="00EC5A51"/>
    <w:rsid w:val="00EC64D7"/>
    <w:rsid w:val="00ED4605"/>
    <w:rsid w:val="00ED5254"/>
    <w:rsid w:val="00ED5F84"/>
    <w:rsid w:val="00ED6629"/>
    <w:rsid w:val="00ED7447"/>
    <w:rsid w:val="00EE1E28"/>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19E7"/>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02C8"/>
    <w:rsid w:val="00F91674"/>
    <w:rsid w:val="00F954D0"/>
    <w:rsid w:val="00FA0203"/>
    <w:rsid w:val="00FA0498"/>
    <w:rsid w:val="00FA0950"/>
    <w:rsid w:val="00FA0C19"/>
    <w:rsid w:val="00FA1756"/>
    <w:rsid w:val="00FA1A7D"/>
    <w:rsid w:val="00FA1C74"/>
    <w:rsid w:val="00FA6C5E"/>
    <w:rsid w:val="00FB17C7"/>
    <w:rsid w:val="00FB2A60"/>
    <w:rsid w:val="00FB4D88"/>
    <w:rsid w:val="00FB6A01"/>
    <w:rsid w:val="00FC036E"/>
    <w:rsid w:val="00FC0C65"/>
    <w:rsid w:val="00FC13BE"/>
    <w:rsid w:val="00FC199B"/>
    <w:rsid w:val="00FC2319"/>
    <w:rsid w:val="00FC358D"/>
    <w:rsid w:val="00FC36BB"/>
    <w:rsid w:val="00FC47A9"/>
    <w:rsid w:val="00FC6D01"/>
    <w:rsid w:val="00FD011C"/>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1BEEB"/>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7\Information\1_2017%20Stats%20Book_Print%20Draft%20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7\Information\1_2017%20Stats%20Book_Print%20Draft%20v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7\Information\1_2017%20Stats%20Book_Print%20Draft%20v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7\Information\1_2017%20Stats%20Book_Print%20Draft%20v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7\Information\1_2017%20Stats%20Book_Print%20Draft%20v2.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Local Market Prices (R/Ton)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p24doap!$I$29</c:f>
              <c:strCache>
                <c:ptCount val="1"/>
                <c:pt idx="0">
                  <c:v>Local Market</c:v>
                </c:pt>
              </c:strCache>
            </c:strRef>
          </c:tx>
          <c:spPr>
            <a:ln w="28575" cap="rnd">
              <a:solidFill>
                <a:schemeClr val="accent1"/>
              </a:solidFill>
              <a:round/>
            </a:ln>
            <a:effectLst/>
          </c:spPr>
          <c:marker>
            <c:symbol val="none"/>
          </c:marker>
          <c:cat>
            <c:numRef>
              <c:f>p24doap!$H$30:$H$39</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p24doap!$I$30:$I$39</c:f>
              <c:numCache>
                <c:formatCode>#,##0</c:formatCode>
                <c:ptCount val="10"/>
                <c:pt idx="0">
                  <c:v>2542.8864393160179</c:v>
                </c:pt>
                <c:pt idx="1">
                  <c:v>3038.3952609702937</c:v>
                </c:pt>
                <c:pt idx="2">
                  <c:v>3042.2803120083577</c:v>
                </c:pt>
                <c:pt idx="3">
                  <c:v>3804.9861008812818</c:v>
                </c:pt>
                <c:pt idx="4">
                  <c:v>4091.1414188408753</c:v>
                </c:pt>
                <c:pt idx="5">
                  <c:v>3759.887868442298</c:v>
                </c:pt>
                <c:pt idx="6">
                  <c:v>5159.2784414230482</c:v>
                </c:pt>
                <c:pt idx="7">
                  <c:v>5441.5433642428561</c:v>
                </c:pt>
                <c:pt idx="8">
                  <c:v>5606.3278893947618</c:v>
                </c:pt>
                <c:pt idx="9">
                  <c:v>6785.2875078358657</c:v>
                </c:pt>
              </c:numCache>
            </c:numRef>
          </c:val>
          <c:smooth val="0"/>
          <c:extLst>
            <c:ext xmlns:c16="http://schemas.microsoft.com/office/drawing/2014/chart" uri="{C3380CC4-5D6E-409C-BE32-E72D297353CC}">
              <c16:uniqueId val="{00000000-8067-4195-B090-3563CA4110B8}"/>
            </c:ext>
          </c:extLst>
        </c:ser>
        <c:dLbls>
          <c:showLegendKey val="0"/>
          <c:showVal val="0"/>
          <c:showCatName val="0"/>
          <c:showSerName val="0"/>
          <c:showPercent val="0"/>
          <c:showBubbleSize val="0"/>
        </c:dLbls>
        <c:smooth val="0"/>
        <c:axId val="410202384"/>
        <c:axId val="410196152"/>
      </c:lineChart>
      <c:catAx>
        <c:axId val="410202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196152"/>
        <c:crosses val="autoZero"/>
        <c:auto val="1"/>
        <c:lblAlgn val="ctr"/>
        <c:lblOffset val="100"/>
        <c:noMultiLvlLbl val="0"/>
      </c:catAx>
      <c:valAx>
        <c:axId val="410196152"/>
        <c:scaling>
          <c:orientation val="minMax"/>
          <c:max val="7000"/>
          <c:min val="2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202384"/>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Exports Prices (R/Ton)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p24doap!$L$29</c:f>
              <c:strCache>
                <c:ptCount val="1"/>
                <c:pt idx="0">
                  <c:v>Exports</c:v>
                </c:pt>
              </c:strCache>
            </c:strRef>
          </c:tx>
          <c:spPr>
            <a:ln w="28575" cap="rnd">
              <a:solidFill>
                <a:schemeClr val="accent1"/>
              </a:solidFill>
              <a:round/>
            </a:ln>
            <a:effectLst/>
          </c:spPr>
          <c:marker>
            <c:symbol val="none"/>
          </c:marker>
          <c:cat>
            <c:numRef>
              <c:f>p24doap!$K$30:$K$39</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p24doap!$L$30:$L$39</c:f>
              <c:numCache>
                <c:formatCode>#,##0</c:formatCode>
                <c:ptCount val="10"/>
                <c:pt idx="0">
                  <c:v>3758</c:v>
                </c:pt>
                <c:pt idx="1">
                  <c:v>4965</c:v>
                </c:pt>
                <c:pt idx="2">
                  <c:v>4635</c:v>
                </c:pt>
                <c:pt idx="3">
                  <c:v>5618</c:v>
                </c:pt>
                <c:pt idx="4">
                  <c:v>6717.7683835719972</c:v>
                </c:pt>
                <c:pt idx="5">
                  <c:v>7369.4749076894086</c:v>
                </c:pt>
                <c:pt idx="6">
                  <c:v>8906.7783175784716</c:v>
                </c:pt>
                <c:pt idx="7">
                  <c:v>10002.527410005488</c:v>
                </c:pt>
                <c:pt idx="8">
                  <c:v>11391.795029399607</c:v>
                </c:pt>
                <c:pt idx="9">
                  <c:v>14242</c:v>
                </c:pt>
              </c:numCache>
            </c:numRef>
          </c:val>
          <c:smooth val="0"/>
          <c:extLst>
            <c:ext xmlns:c16="http://schemas.microsoft.com/office/drawing/2014/chart" uri="{C3380CC4-5D6E-409C-BE32-E72D297353CC}">
              <c16:uniqueId val="{00000000-ABCD-47DF-9808-A40AC55762D8}"/>
            </c:ext>
          </c:extLst>
        </c:ser>
        <c:dLbls>
          <c:showLegendKey val="0"/>
          <c:showVal val="0"/>
          <c:showCatName val="0"/>
          <c:showSerName val="0"/>
          <c:showPercent val="0"/>
          <c:showBubbleSize val="0"/>
        </c:dLbls>
        <c:smooth val="0"/>
        <c:axId val="410209928"/>
        <c:axId val="410214192"/>
      </c:lineChart>
      <c:catAx>
        <c:axId val="410209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214192"/>
        <c:crosses val="autoZero"/>
        <c:auto val="1"/>
        <c:lblAlgn val="ctr"/>
        <c:lblOffset val="100"/>
        <c:noMultiLvlLbl val="0"/>
      </c:catAx>
      <c:valAx>
        <c:axId val="410214192"/>
        <c:scaling>
          <c:orientation val="minMax"/>
          <c:min val="3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0209928"/>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Processed Prices (R/Ton)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p24doap!$O$29</c:f>
              <c:strCache>
                <c:ptCount val="1"/>
                <c:pt idx="0">
                  <c:v>Processed</c:v>
                </c:pt>
              </c:strCache>
            </c:strRef>
          </c:tx>
          <c:spPr>
            <a:ln w="28575" cap="rnd">
              <a:solidFill>
                <a:schemeClr val="accent1"/>
              </a:solidFill>
              <a:round/>
            </a:ln>
            <a:effectLst/>
          </c:spPr>
          <c:marker>
            <c:symbol val="none"/>
          </c:marker>
          <c:cat>
            <c:numRef>
              <c:f>p24doap!$N$30:$N$39</c:f>
              <c:numCache>
                <c:formatCode>General</c:formatCode>
                <c:ptCount val="10"/>
                <c:pt idx="0">
                  <c:v>2007</c:v>
                </c:pt>
                <c:pt idx="1">
                  <c:v>2008</c:v>
                </c:pt>
                <c:pt idx="2">
                  <c:v>2009</c:v>
                </c:pt>
                <c:pt idx="3">
                  <c:v>2010</c:v>
                </c:pt>
                <c:pt idx="4">
                  <c:v>2011</c:v>
                </c:pt>
                <c:pt idx="5">
                  <c:v>2012</c:v>
                </c:pt>
                <c:pt idx="6">
                  <c:v>2013</c:v>
                </c:pt>
                <c:pt idx="7">
                  <c:v>2014</c:v>
                </c:pt>
                <c:pt idx="8">
                  <c:v>2015</c:v>
                </c:pt>
                <c:pt idx="9">
                  <c:v>2016</c:v>
                </c:pt>
              </c:numCache>
            </c:numRef>
          </c:cat>
          <c:val>
            <c:numRef>
              <c:f>p24doap!$O$30:$O$39</c:f>
              <c:numCache>
                <c:formatCode>#,##0</c:formatCode>
                <c:ptCount val="10"/>
                <c:pt idx="0">
                  <c:v>214</c:v>
                </c:pt>
                <c:pt idx="1">
                  <c:v>367</c:v>
                </c:pt>
                <c:pt idx="2">
                  <c:v>275</c:v>
                </c:pt>
                <c:pt idx="3">
                  <c:v>214</c:v>
                </c:pt>
                <c:pt idx="4">
                  <c:v>314.97031390521778</c:v>
                </c:pt>
                <c:pt idx="5">
                  <c:v>418.83501670987755</c:v>
                </c:pt>
                <c:pt idx="6">
                  <c:v>333.51350442676232</c:v>
                </c:pt>
                <c:pt idx="7">
                  <c:v>465.01871997099084</c:v>
                </c:pt>
                <c:pt idx="8">
                  <c:v>391.34136967155837</c:v>
                </c:pt>
                <c:pt idx="9">
                  <c:v>532.12450975615695</c:v>
                </c:pt>
              </c:numCache>
            </c:numRef>
          </c:val>
          <c:smooth val="0"/>
          <c:extLst>
            <c:ext xmlns:c16="http://schemas.microsoft.com/office/drawing/2014/chart" uri="{C3380CC4-5D6E-409C-BE32-E72D297353CC}">
              <c16:uniqueId val="{00000000-6D40-4A66-BBB9-A8F25E734E8B}"/>
            </c:ext>
          </c:extLst>
        </c:ser>
        <c:dLbls>
          <c:showLegendKey val="0"/>
          <c:showVal val="0"/>
          <c:showCatName val="0"/>
          <c:showSerName val="0"/>
          <c:showPercent val="0"/>
          <c:showBubbleSize val="0"/>
        </c:dLbls>
        <c:smooth val="0"/>
        <c:axId val="411337968"/>
        <c:axId val="411338952"/>
      </c:lineChart>
      <c:catAx>
        <c:axId val="41133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338952"/>
        <c:crosses val="autoZero"/>
        <c:auto val="1"/>
        <c:lblAlgn val="ctr"/>
        <c:lblOffset val="100"/>
        <c:noMultiLvlLbl val="0"/>
      </c:catAx>
      <c:valAx>
        <c:axId val="411338952"/>
        <c:scaling>
          <c:orientation val="minMax"/>
          <c:min val="2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1337968"/>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Soft Citrus Export Volumes (Tons)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P22DAFF!$K$16</c:f>
              <c:strCache>
                <c:ptCount val="1"/>
                <c:pt idx="0">
                  <c:v>Exports</c:v>
                </c:pt>
              </c:strCache>
            </c:strRef>
          </c:tx>
          <c:spPr>
            <a:ln w="28575" cap="rnd">
              <a:solidFill>
                <a:schemeClr val="accent1"/>
              </a:solidFill>
              <a:round/>
            </a:ln>
            <a:effectLst/>
          </c:spPr>
          <c:marker>
            <c:symbol val="none"/>
          </c:marker>
          <c:cat>
            <c:numRef>
              <c:f>P22DAFF!$J$17:$J$27</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P22DAFF!$K$17:$K$27</c:f>
              <c:numCache>
                <c:formatCode>#,##0</c:formatCode>
                <c:ptCount val="11"/>
                <c:pt idx="0">
                  <c:v>101437.95385000015</c:v>
                </c:pt>
                <c:pt idx="1">
                  <c:v>110139.37465000001</c:v>
                </c:pt>
                <c:pt idx="2">
                  <c:v>101726.18826000004</c:v>
                </c:pt>
                <c:pt idx="3">
                  <c:v>113033.93750000012</c:v>
                </c:pt>
                <c:pt idx="4">
                  <c:v>103617.82905000003</c:v>
                </c:pt>
                <c:pt idx="5" formatCode="_ * #\ ##0_ ;_ * \-#\ ##0_ ;_ * &quot;-&quot;??_ ;_ @_ ">
                  <c:v>110939.19199499999</c:v>
                </c:pt>
                <c:pt idx="6" formatCode="_ * #\ ##0_ ;_ * \-#\ ##0_ ;_ * &quot;-&quot;??_ ;_ @_ ">
                  <c:v>121444</c:v>
                </c:pt>
                <c:pt idx="7" formatCode="_ * #\ ##0_ ;_ * \-#\ ##0_ ;_ * &quot;-&quot;??_ ;_ @_ ">
                  <c:v>149398</c:v>
                </c:pt>
                <c:pt idx="8" formatCode="_ * #\ ##0_ ;_ * \-#\ ##0_ ;_ * &quot;-&quot;??_ ;_ @_ ">
                  <c:v>150002</c:v>
                </c:pt>
                <c:pt idx="9" formatCode="_ * #\ ##0_ ;_ * \-#\ ##0_ ;_ * &quot;-&quot;??_ ;_ @_ ">
                  <c:v>182834.0361</c:v>
                </c:pt>
                <c:pt idx="10" formatCode="General">
                  <c:v>201000</c:v>
                </c:pt>
              </c:numCache>
            </c:numRef>
          </c:val>
          <c:smooth val="0"/>
          <c:extLst>
            <c:ext xmlns:c16="http://schemas.microsoft.com/office/drawing/2014/chart" uri="{C3380CC4-5D6E-409C-BE32-E72D297353CC}">
              <c16:uniqueId val="{00000000-0CF6-4A30-9F06-521E73FA6129}"/>
            </c:ext>
          </c:extLst>
        </c:ser>
        <c:dLbls>
          <c:showLegendKey val="0"/>
          <c:showVal val="0"/>
          <c:showCatName val="0"/>
          <c:showSerName val="0"/>
          <c:showPercent val="0"/>
          <c:showBubbleSize val="0"/>
        </c:dLbls>
        <c:smooth val="0"/>
        <c:axId val="436070832"/>
        <c:axId val="436064928"/>
      </c:lineChart>
      <c:catAx>
        <c:axId val="4360708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6064928"/>
        <c:crosses val="autoZero"/>
        <c:auto val="1"/>
        <c:lblAlgn val="ctr"/>
        <c:lblOffset val="100"/>
        <c:noMultiLvlLbl val="0"/>
      </c:catAx>
      <c:valAx>
        <c:axId val="436064928"/>
        <c:scaling>
          <c:orientation val="minMax"/>
          <c:max val="210000"/>
          <c:min val="1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6070832"/>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Hectares under Soft Citrus in Southern Africa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P22DAFF!$C$36</c:f>
              <c:strCache>
                <c:ptCount val="1"/>
                <c:pt idx="0">
                  <c:v>Ha</c:v>
                </c:pt>
              </c:strCache>
            </c:strRef>
          </c:tx>
          <c:spPr>
            <a:ln w="28575" cap="rnd">
              <a:solidFill>
                <a:schemeClr val="accent1"/>
              </a:solidFill>
              <a:round/>
            </a:ln>
            <a:effectLst/>
          </c:spPr>
          <c:marker>
            <c:symbol val="none"/>
          </c:marker>
          <c:cat>
            <c:numRef>
              <c:f>P22DAFF!$B$37:$B$41</c:f>
              <c:numCache>
                <c:formatCode>General</c:formatCode>
                <c:ptCount val="5"/>
                <c:pt idx="0">
                  <c:v>2000</c:v>
                </c:pt>
                <c:pt idx="1">
                  <c:v>2005</c:v>
                </c:pt>
                <c:pt idx="2">
                  <c:v>2010</c:v>
                </c:pt>
                <c:pt idx="3">
                  <c:v>2015</c:v>
                </c:pt>
                <c:pt idx="4">
                  <c:v>2017</c:v>
                </c:pt>
              </c:numCache>
            </c:numRef>
          </c:cat>
          <c:val>
            <c:numRef>
              <c:f>P22DAFF!$C$37:$C$41</c:f>
              <c:numCache>
                <c:formatCode>#,##0</c:formatCode>
                <c:ptCount val="5"/>
                <c:pt idx="0" formatCode="General">
                  <c:v>4123</c:v>
                </c:pt>
                <c:pt idx="1">
                  <c:v>5456</c:v>
                </c:pt>
                <c:pt idx="2" formatCode="General">
                  <c:v>4960</c:v>
                </c:pt>
                <c:pt idx="3" formatCode="General">
                  <c:v>9335</c:v>
                </c:pt>
                <c:pt idx="4" formatCode="General">
                  <c:v>14937</c:v>
                </c:pt>
              </c:numCache>
            </c:numRef>
          </c:val>
          <c:smooth val="0"/>
          <c:extLst>
            <c:ext xmlns:c16="http://schemas.microsoft.com/office/drawing/2014/chart" uri="{C3380CC4-5D6E-409C-BE32-E72D297353CC}">
              <c16:uniqueId val="{00000000-3BAC-4043-A34C-7D1FCAD11D52}"/>
            </c:ext>
          </c:extLst>
        </c:ser>
        <c:dLbls>
          <c:showLegendKey val="0"/>
          <c:showVal val="0"/>
          <c:showCatName val="0"/>
          <c:showSerName val="0"/>
          <c:showPercent val="0"/>
          <c:showBubbleSize val="0"/>
        </c:dLbls>
        <c:smooth val="0"/>
        <c:axId val="436918704"/>
        <c:axId val="436919032"/>
      </c:lineChart>
      <c:catAx>
        <c:axId val="43691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6919032"/>
        <c:crosses val="autoZero"/>
        <c:auto val="1"/>
        <c:lblAlgn val="ctr"/>
        <c:lblOffset val="100"/>
        <c:noMultiLvlLbl val="0"/>
      </c:catAx>
      <c:valAx>
        <c:axId val="436919032"/>
        <c:scaling>
          <c:orientation val="minMax"/>
          <c:max val="15000"/>
          <c:min val="3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6918704"/>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618D2-D331-43FD-9B07-FF87D9B2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Justin</cp:lastModifiedBy>
  <cp:revision>8</cp:revision>
  <cp:lastPrinted>2017-09-15T08:19:00Z</cp:lastPrinted>
  <dcterms:created xsi:type="dcterms:W3CDTF">2017-12-14T06:11:00Z</dcterms:created>
  <dcterms:modified xsi:type="dcterms:W3CDTF">2017-12-14T07:07:00Z</dcterms:modified>
</cp:coreProperties>
</file>