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EA7106">
        <w:rPr>
          <w:rFonts w:ascii="Comic Sans MS" w:hAnsi="Comic Sans MS"/>
          <w:b/>
          <w:i/>
          <w:sz w:val="40"/>
          <w:szCs w:val="40"/>
        </w:rPr>
        <w:t>41</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361403">
      <w:pPr>
        <w:rPr>
          <w:rFonts w:ascii="Comic Sans MS" w:hAnsi="Comic Sans MS"/>
          <w:i/>
          <w:sz w:val="21"/>
          <w:szCs w:val="21"/>
        </w:rPr>
      </w:pPr>
      <w:r w:rsidRPr="00EF7AA5">
        <w:rPr>
          <w:rFonts w:ascii="Comic Sans MS" w:hAnsi="Comic Sans MS"/>
          <w:i/>
          <w:sz w:val="21"/>
          <w:szCs w:val="21"/>
        </w:rPr>
        <w:t xml:space="preserve">Justin Chadwick </w:t>
      </w:r>
      <w:r w:rsidR="00EA7106">
        <w:rPr>
          <w:rFonts w:ascii="Comic Sans MS" w:hAnsi="Comic Sans MS"/>
          <w:i/>
          <w:sz w:val="21"/>
          <w:szCs w:val="21"/>
        </w:rPr>
        <w:t>11</w:t>
      </w:r>
      <w:r w:rsidR="00EA717C">
        <w:rPr>
          <w:rFonts w:ascii="Comic Sans MS" w:hAnsi="Comic Sans MS"/>
          <w:i/>
          <w:sz w:val="21"/>
          <w:szCs w:val="21"/>
        </w:rPr>
        <w:t xml:space="preserve"> October</w:t>
      </w:r>
      <w:r>
        <w:rPr>
          <w:rFonts w:ascii="Comic Sans MS" w:hAnsi="Comic Sans MS"/>
          <w:i/>
          <w:sz w:val="21"/>
          <w:szCs w:val="21"/>
        </w:rPr>
        <w:t xml:space="preserve"> </w:t>
      </w:r>
      <w:r w:rsidRPr="00EF7AA5">
        <w:rPr>
          <w:rFonts w:ascii="Comic Sans MS" w:hAnsi="Comic Sans MS"/>
          <w:i/>
          <w:sz w:val="21"/>
          <w:szCs w:val="21"/>
        </w:rPr>
        <w:t>2019</w:t>
      </w:r>
    </w:p>
    <w:tbl>
      <w:tblPr>
        <w:tblpPr w:leftFromText="180" w:rightFromText="180" w:vertAnchor="text" w:horzAnchor="margin" w:tblpY="-201"/>
        <w:tblOverlap w:val="never"/>
        <w:tblW w:w="10584" w:type="dxa"/>
        <w:tblCellSpacing w:w="0" w:type="dxa"/>
        <w:tblLayout w:type="fixed"/>
        <w:tblCellMar>
          <w:top w:w="15" w:type="dxa"/>
          <w:bottom w:w="15" w:type="dxa"/>
        </w:tblCellMar>
        <w:tblLook w:val="04A0" w:firstRow="1" w:lastRow="0" w:firstColumn="1" w:lastColumn="0" w:noHBand="0" w:noVBand="1"/>
      </w:tblPr>
      <w:tblGrid>
        <w:gridCol w:w="10584"/>
      </w:tblGrid>
      <w:tr w:rsidR="00361403" w:rsidRPr="000D76D2" w:rsidTr="003F7804">
        <w:trPr>
          <w:trHeight w:val="150"/>
          <w:tblCellSpacing w:w="0" w:type="dxa"/>
        </w:trPr>
        <w:tc>
          <w:tcPr>
            <w:tcW w:w="10584" w:type="dxa"/>
            <w:vAlign w:val="center"/>
          </w:tcPr>
          <w:p w:rsidR="00B04E97" w:rsidRDefault="00EA717C" w:rsidP="00B673C4">
            <w:pPr>
              <w:spacing w:after="0" w:line="240" w:lineRule="auto"/>
              <w:ind w:right="-329"/>
              <w:rPr>
                <w:rFonts w:ascii="Arial" w:hAnsi="Arial" w:cs="Arial"/>
                <w:b/>
                <w:i/>
                <w:sz w:val="24"/>
                <w:szCs w:val="24"/>
                <w:lang w:val="en"/>
              </w:rPr>
            </w:pPr>
            <w:r>
              <w:rPr>
                <w:rFonts w:ascii="Arial" w:hAnsi="Arial" w:cs="Arial"/>
                <w:b/>
                <w:i/>
                <w:sz w:val="24"/>
                <w:szCs w:val="24"/>
                <w:lang w:val="en-US"/>
              </w:rPr>
              <w:t>“</w:t>
            </w:r>
            <w:r w:rsidR="00EA7106">
              <w:rPr>
                <w:rFonts w:ascii="Arial" w:hAnsi="Arial" w:cs="Arial"/>
                <w:b/>
                <w:i/>
                <w:sz w:val="24"/>
                <w:szCs w:val="24"/>
                <w:lang w:val="en"/>
              </w:rPr>
              <w:t>The follies which a man regrets most in his life, are those which he didn’t commit when he had the opportunity” Helen Rowland</w:t>
            </w:r>
          </w:p>
          <w:p w:rsidR="00836320" w:rsidRPr="001C679B" w:rsidRDefault="00836320" w:rsidP="00B673C4">
            <w:pPr>
              <w:spacing w:after="0" w:line="240" w:lineRule="auto"/>
              <w:ind w:right="-329"/>
              <w:rPr>
                <w:rFonts w:ascii="Arial" w:hAnsi="Arial" w:cs="Arial"/>
                <w:b/>
                <w:i/>
                <w:sz w:val="24"/>
                <w:szCs w:val="24"/>
                <w:lang w:val="en"/>
              </w:rPr>
            </w:pPr>
          </w:p>
        </w:tc>
      </w:tr>
    </w:tbl>
    <w:p w:rsidR="003F7804" w:rsidRPr="003F7804" w:rsidRDefault="003F7804" w:rsidP="003F7804">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CGA WATER RESOURCE MANAGEMENT BULLETINS</w:t>
      </w:r>
    </w:p>
    <w:p w:rsidR="003F7804" w:rsidRPr="003F7804" w:rsidRDefault="003F7804" w:rsidP="003F7804">
      <w:pPr>
        <w:pStyle w:val="PlainText"/>
        <w:rPr>
          <w:rFonts w:ascii="Arial" w:hAnsi="Arial" w:cs="Arial"/>
          <w:sz w:val="24"/>
          <w:szCs w:val="24"/>
        </w:rPr>
      </w:pPr>
      <w:r w:rsidRPr="003F7804">
        <w:rPr>
          <w:rFonts w:ascii="Arial" w:hAnsi="Arial" w:cs="Arial"/>
          <w:sz w:val="24"/>
          <w:szCs w:val="24"/>
        </w:rPr>
        <w:t xml:space="preserve">Through strategic planning sessions and the day-to-day interaction with CGA members the topic of “water” has emerged as a key issue facing many citrus growers. This is not simply about having sufficient quantities of water, but having access to good quality freshwater for citrus production on a sustainable basis. CGA have put together five bulletins that address key areas relating to water and which highlight good practice pathways. These themes tie in with the SIZA environmental Standards. Compiled by Blue North for CGA and with inputs from CRI, the purpose of the bulletins is to create a baseline knowledge from which further engagement can take place. The hope is that real solutions become evident on farms and robust discussions can then be had with trading partners. As the bulletins are release over the next few weeks, there will also be an opportunity to engage the authors as Best Practices are identified. The sessions will take place alongside upcoming Carbon Foot printing workshop in/near citrus regions. Should you be interested in attending please email Paul Hardman at </w:t>
      </w:r>
      <w:hyperlink r:id="rId7" w:history="1">
        <w:r w:rsidRPr="003F7804">
          <w:rPr>
            <w:rStyle w:val="Hyperlink"/>
            <w:rFonts w:ascii="Arial" w:hAnsi="Arial" w:cs="Arial"/>
            <w:sz w:val="24"/>
            <w:szCs w:val="24"/>
          </w:rPr>
          <w:t>ph@cga.co.za</w:t>
        </w:r>
      </w:hyperlink>
      <w:r w:rsidRPr="003F7804">
        <w:rPr>
          <w:rFonts w:ascii="Arial" w:hAnsi="Arial" w:cs="Arial"/>
          <w:sz w:val="24"/>
          <w:szCs w:val="24"/>
        </w:rPr>
        <w:t xml:space="preserve">. Workshop dates: </w:t>
      </w:r>
      <w:proofErr w:type="spellStart"/>
      <w:r w:rsidRPr="003F7804">
        <w:rPr>
          <w:rFonts w:ascii="Arial" w:hAnsi="Arial" w:cs="Arial"/>
          <w:sz w:val="24"/>
          <w:szCs w:val="24"/>
        </w:rPr>
        <w:t>Loskopdam</w:t>
      </w:r>
      <w:proofErr w:type="spellEnd"/>
      <w:r w:rsidRPr="003F7804">
        <w:rPr>
          <w:rFonts w:ascii="Arial" w:hAnsi="Arial" w:cs="Arial"/>
          <w:sz w:val="24"/>
          <w:szCs w:val="24"/>
        </w:rPr>
        <w:t xml:space="preserve"> – 16th, Nelspruit – 17th, </w:t>
      </w:r>
      <w:proofErr w:type="spellStart"/>
      <w:r w:rsidRPr="003F7804">
        <w:rPr>
          <w:rFonts w:ascii="Arial" w:hAnsi="Arial" w:cs="Arial"/>
          <w:sz w:val="24"/>
          <w:szCs w:val="24"/>
        </w:rPr>
        <w:t>Citrusdal</w:t>
      </w:r>
      <w:proofErr w:type="spellEnd"/>
      <w:r w:rsidRPr="003F7804">
        <w:rPr>
          <w:rFonts w:ascii="Arial" w:hAnsi="Arial" w:cs="Arial"/>
          <w:sz w:val="24"/>
          <w:szCs w:val="24"/>
        </w:rPr>
        <w:t xml:space="preserve"> – 23rd, Ceres – 24th and </w:t>
      </w:r>
      <w:proofErr w:type="spellStart"/>
      <w:r w:rsidRPr="003F7804">
        <w:rPr>
          <w:rFonts w:ascii="Arial" w:hAnsi="Arial" w:cs="Arial"/>
          <w:sz w:val="24"/>
          <w:szCs w:val="24"/>
        </w:rPr>
        <w:t>Patense</w:t>
      </w:r>
      <w:proofErr w:type="spellEnd"/>
      <w:r w:rsidRPr="003F7804">
        <w:rPr>
          <w:rFonts w:ascii="Arial" w:hAnsi="Arial" w:cs="Arial"/>
          <w:sz w:val="24"/>
          <w:szCs w:val="24"/>
        </w:rPr>
        <w:t xml:space="preserve"> – 7th Nov.</w:t>
      </w:r>
    </w:p>
    <w:p w:rsidR="007E6B47" w:rsidRPr="007830CC" w:rsidRDefault="009D0040" w:rsidP="007E6B47">
      <w:pPr>
        <w:spacing w:after="0"/>
        <w:rPr>
          <w:rFonts w:ascii="Arial" w:eastAsia="Times New Roman" w:hAnsi="Arial" w:cs="Arial"/>
          <w:b/>
          <w:color w:val="C45911" w:themeColor="accent2" w:themeShade="BF"/>
          <w:sz w:val="24"/>
          <w:szCs w:val="24"/>
          <w:u w:val="single"/>
          <w:lang w:val="en-US"/>
        </w:rPr>
      </w:pPr>
      <w:r w:rsidRPr="007830CC">
        <w:rPr>
          <w:rFonts w:ascii="Arial" w:eastAsia="Times New Roman" w:hAnsi="Arial" w:cs="Arial"/>
          <w:b/>
          <w:color w:val="C45911" w:themeColor="accent2" w:themeShade="BF"/>
          <w:sz w:val="24"/>
          <w:szCs w:val="24"/>
          <w:u w:val="single"/>
          <w:lang w:val="en-US"/>
        </w:rPr>
        <w:t>CITRUS STATISTICS</w:t>
      </w:r>
    </w:p>
    <w:p w:rsidR="00612231" w:rsidRPr="007830CC" w:rsidRDefault="00612231" w:rsidP="007E6B47">
      <w:pPr>
        <w:spacing w:after="0"/>
        <w:rPr>
          <w:rFonts w:ascii="Arial" w:eastAsia="Times New Roman" w:hAnsi="Arial" w:cs="Arial"/>
          <w:sz w:val="24"/>
          <w:szCs w:val="24"/>
          <w:lang w:val="en-US"/>
        </w:rPr>
      </w:pPr>
      <w:r w:rsidRPr="007830CC">
        <w:rPr>
          <w:rFonts w:ascii="Arial" w:eastAsia="Times New Roman" w:hAnsi="Arial" w:cs="Arial"/>
          <w:sz w:val="24"/>
          <w:szCs w:val="24"/>
          <w:lang w:val="en-US"/>
        </w:rPr>
        <w:t>For this weeks’ newsletters I extracted some</w:t>
      </w:r>
      <w:r w:rsidR="00EA717C" w:rsidRPr="007830CC">
        <w:rPr>
          <w:rFonts w:ascii="Arial" w:eastAsia="Times New Roman" w:hAnsi="Arial" w:cs="Arial"/>
          <w:sz w:val="24"/>
          <w:szCs w:val="24"/>
          <w:lang w:val="en-US"/>
        </w:rPr>
        <w:t xml:space="preserve"> of t</w:t>
      </w:r>
      <w:r w:rsidR="003F7804">
        <w:rPr>
          <w:rFonts w:ascii="Arial" w:eastAsia="Times New Roman" w:hAnsi="Arial" w:cs="Arial"/>
          <w:sz w:val="24"/>
          <w:szCs w:val="24"/>
          <w:lang w:val="en-US"/>
        </w:rPr>
        <w:t xml:space="preserve">he statistics on the lime/lemon </w:t>
      </w:r>
      <w:r w:rsidRPr="007830CC">
        <w:rPr>
          <w:rFonts w:ascii="Arial" w:eastAsia="Times New Roman" w:hAnsi="Arial" w:cs="Arial"/>
          <w:sz w:val="24"/>
          <w:szCs w:val="24"/>
          <w:lang w:val="en-US"/>
        </w:rPr>
        <w:t>trade – comparing 2017 (latest data) with 2012. This shows the fastest growing and the fastest declining global trade flows:</w:t>
      </w:r>
    </w:p>
    <w:tbl>
      <w:tblPr>
        <w:tblStyle w:val="TableGrid"/>
        <w:tblW w:w="5000" w:type="pct"/>
        <w:tblLook w:val="04A0" w:firstRow="1" w:lastRow="0" w:firstColumn="1" w:lastColumn="0" w:noHBand="0" w:noVBand="1"/>
      </w:tblPr>
      <w:tblGrid>
        <w:gridCol w:w="4208"/>
        <w:gridCol w:w="922"/>
        <w:gridCol w:w="4408"/>
        <w:gridCol w:w="918"/>
      </w:tblGrid>
      <w:tr w:rsidR="00612231" w:rsidRPr="007830CC" w:rsidTr="00612231">
        <w:tc>
          <w:tcPr>
            <w:tcW w:w="2012" w:type="pct"/>
            <w:shd w:val="clear" w:color="auto" w:fill="D9D9D9" w:themeFill="background1" w:themeFillShade="D9"/>
          </w:tcPr>
          <w:p w:rsidR="00612231" w:rsidRPr="007830CC" w:rsidRDefault="00612231" w:rsidP="00612231">
            <w:pPr>
              <w:spacing w:after="0"/>
              <w:rPr>
                <w:rFonts w:ascii="Arial" w:eastAsia="Times New Roman" w:hAnsi="Arial" w:cs="Arial"/>
                <w:b/>
                <w:sz w:val="24"/>
                <w:szCs w:val="24"/>
                <w:lang w:val="en-US"/>
              </w:rPr>
            </w:pPr>
            <w:r w:rsidRPr="007830CC">
              <w:rPr>
                <w:rFonts w:ascii="Arial" w:eastAsia="Times New Roman" w:hAnsi="Arial" w:cs="Arial"/>
                <w:b/>
                <w:sz w:val="24"/>
                <w:szCs w:val="24"/>
                <w:lang w:val="en-US"/>
              </w:rPr>
              <w:t>Fastest Growing</w:t>
            </w:r>
          </w:p>
        </w:tc>
        <w:tc>
          <w:tcPr>
            <w:tcW w:w="441" w:type="pct"/>
            <w:shd w:val="clear" w:color="auto" w:fill="D9D9D9" w:themeFill="background1" w:themeFillShade="D9"/>
          </w:tcPr>
          <w:p w:rsidR="00612231" w:rsidRPr="007830CC" w:rsidRDefault="00612231" w:rsidP="00612231">
            <w:pPr>
              <w:spacing w:after="0"/>
              <w:jc w:val="right"/>
              <w:rPr>
                <w:rFonts w:ascii="Arial" w:eastAsia="Times New Roman" w:hAnsi="Arial" w:cs="Arial"/>
                <w:b/>
                <w:sz w:val="24"/>
                <w:szCs w:val="24"/>
                <w:lang w:val="en-US"/>
              </w:rPr>
            </w:pPr>
            <w:r w:rsidRPr="007830CC">
              <w:rPr>
                <w:rFonts w:ascii="Arial" w:eastAsia="Times New Roman" w:hAnsi="Arial" w:cs="Arial"/>
                <w:b/>
                <w:sz w:val="24"/>
                <w:szCs w:val="24"/>
                <w:lang w:val="en-US"/>
              </w:rPr>
              <w:t>%</w:t>
            </w:r>
          </w:p>
        </w:tc>
        <w:tc>
          <w:tcPr>
            <w:tcW w:w="2108" w:type="pct"/>
            <w:shd w:val="clear" w:color="auto" w:fill="D9D9D9" w:themeFill="background1" w:themeFillShade="D9"/>
          </w:tcPr>
          <w:p w:rsidR="00612231" w:rsidRPr="007830CC" w:rsidRDefault="00612231" w:rsidP="00612231">
            <w:pPr>
              <w:spacing w:after="0"/>
              <w:rPr>
                <w:rFonts w:ascii="Arial" w:eastAsia="Times New Roman" w:hAnsi="Arial" w:cs="Arial"/>
                <w:b/>
                <w:sz w:val="24"/>
                <w:szCs w:val="24"/>
                <w:lang w:val="en-US"/>
              </w:rPr>
            </w:pPr>
            <w:r w:rsidRPr="007830CC">
              <w:rPr>
                <w:rFonts w:ascii="Arial" w:eastAsia="Times New Roman" w:hAnsi="Arial" w:cs="Arial"/>
                <w:b/>
                <w:sz w:val="24"/>
                <w:szCs w:val="24"/>
                <w:lang w:val="en-US"/>
              </w:rPr>
              <w:t>Fastest Declining</w:t>
            </w:r>
          </w:p>
        </w:tc>
        <w:tc>
          <w:tcPr>
            <w:tcW w:w="439" w:type="pct"/>
            <w:shd w:val="clear" w:color="auto" w:fill="D9D9D9" w:themeFill="background1" w:themeFillShade="D9"/>
          </w:tcPr>
          <w:p w:rsidR="00612231" w:rsidRPr="007830CC" w:rsidRDefault="00612231" w:rsidP="00612231">
            <w:pPr>
              <w:spacing w:after="0"/>
              <w:jc w:val="right"/>
              <w:rPr>
                <w:rFonts w:ascii="Arial" w:eastAsia="Times New Roman" w:hAnsi="Arial" w:cs="Arial"/>
                <w:b/>
                <w:sz w:val="24"/>
                <w:szCs w:val="24"/>
                <w:lang w:val="en-US"/>
              </w:rPr>
            </w:pPr>
            <w:r w:rsidRPr="007830CC">
              <w:rPr>
                <w:rFonts w:ascii="Arial" w:eastAsia="Times New Roman" w:hAnsi="Arial" w:cs="Arial"/>
                <w:b/>
                <w:sz w:val="24"/>
                <w:szCs w:val="24"/>
                <w:lang w:val="en-US"/>
              </w:rPr>
              <w:t>%</w:t>
            </w:r>
          </w:p>
        </w:tc>
      </w:tr>
      <w:tr w:rsidR="00612231" w:rsidRPr="007830CC" w:rsidTr="00612231">
        <w:tc>
          <w:tcPr>
            <w:tcW w:w="2012"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Netherlands to Germany</w:t>
            </w:r>
          </w:p>
        </w:tc>
        <w:tc>
          <w:tcPr>
            <w:tcW w:w="441"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+55%</w:t>
            </w:r>
          </w:p>
        </w:tc>
        <w:tc>
          <w:tcPr>
            <w:tcW w:w="2108"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Argentina to Netherlands</w:t>
            </w:r>
          </w:p>
        </w:tc>
        <w:tc>
          <w:tcPr>
            <w:tcW w:w="439"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-9%</w:t>
            </w:r>
          </w:p>
        </w:tc>
      </w:tr>
      <w:tr w:rsidR="00612231" w:rsidRPr="007830CC" w:rsidTr="00612231">
        <w:tc>
          <w:tcPr>
            <w:tcW w:w="2012"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Chile to USA</w:t>
            </w:r>
          </w:p>
        </w:tc>
        <w:tc>
          <w:tcPr>
            <w:tcW w:w="441"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+25%</w:t>
            </w:r>
          </w:p>
        </w:tc>
        <w:tc>
          <w:tcPr>
            <w:tcW w:w="2108"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Mexico to Netherlands</w:t>
            </w:r>
          </w:p>
        </w:tc>
        <w:tc>
          <w:tcPr>
            <w:tcW w:w="439"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-8%</w:t>
            </w:r>
          </w:p>
        </w:tc>
      </w:tr>
      <w:tr w:rsidR="00612231" w:rsidRPr="007830CC" w:rsidTr="00612231">
        <w:tc>
          <w:tcPr>
            <w:tcW w:w="2012"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South Africa to Hong Kong</w:t>
            </w:r>
          </w:p>
        </w:tc>
        <w:tc>
          <w:tcPr>
            <w:tcW w:w="441"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+19%</w:t>
            </w:r>
          </w:p>
        </w:tc>
        <w:tc>
          <w:tcPr>
            <w:tcW w:w="2108"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Argentina to Greece</w:t>
            </w:r>
          </w:p>
        </w:tc>
        <w:tc>
          <w:tcPr>
            <w:tcW w:w="439"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-6.5%</w:t>
            </w:r>
          </w:p>
        </w:tc>
      </w:tr>
      <w:tr w:rsidR="00612231" w:rsidRPr="007830CC" w:rsidTr="00612231">
        <w:tc>
          <w:tcPr>
            <w:tcW w:w="2012"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South Africa to Kuwait</w:t>
            </w:r>
          </w:p>
        </w:tc>
        <w:tc>
          <w:tcPr>
            <w:tcW w:w="441"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+17%</w:t>
            </w:r>
          </w:p>
        </w:tc>
        <w:tc>
          <w:tcPr>
            <w:tcW w:w="2108"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Mexico to USA</w:t>
            </w:r>
          </w:p>
        </w:tc>
        <w:tc>
          <w:tcPr>
            <w:tcW w:w="439"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-6%</w:t>
            </w:r>
          </w:p>
        </w:tc>
      </w:tr>
      <w:tr w:rsidR="00612231" w:rsidRPr="007830CC" w:rsidTr="00612231">
        <w:tc>
          <w:tcPr>
            <w:tcW w:w="2012"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USA to South Korea</w:t>
            </w:r>
          </w:p>
        </w:tc>
        <w:tc>
          <w:tcPr>
            <w:tcW w:w="441" w:type="pct"/>
          </w:tcPr>
          <w:p w:rsidR="00612231" w:rsidRPr="007830CC" w:rsidRDefault="003F7804"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+16%</w:t>
            </w:r>
          </w:p>
        </w:tc>
        <w:tc>
          <w:tcPr>
            <w:tcW w:w="2108" w:type="pct"/>
          </w:tcPr>
          <w:p w:rsidR="00612231" w:rsidRPr="007830CC" w:rsidRDefault="003F7804" w:rsidP="007E6B47">
            <w:pPr>
              <w:spacing w:after="0"/>
              <w:rPr>
                <w:rFonts w:ascii="Arial" w:eastAsia="Times New Roman" w:hAnsi="Arial" w:cs="Arial"/>
                <w:sz w:val="24"/>
                <w:szCs w:val="24"/>
                <w:lang w:val="en-US"/>
              </w:rPr>
            </w:pPr>
            <w:r>
              <w:rPr>
                <w:rFonts w:ascii="Arial" w:eastAsia="Times New Roman" w:hAnsi="Arial" w:cs="Arial"/>
                <w:sz w:val="24"/>
                <w:szCs w:val="24"/>
                <w:lang w:val="en-US"/>
              </w:rPr>
              <w:t>Turkey to Ukraine</w:t>
            </w:r>
          </w:p>
        </w:tc>
        <w:tc>
          <w:tcPr>
            <w:tcW w:w="439" w:type="pct"/>
          </w:tcPr>
          <w:p w:rsidR="00612231" w:rsidRPr="007830CC" w:rsidRDefault="001C679B" w:rsidP="00612231">
            <w:pPr>
              <w:spacing w:after="0"/>
              <w:jc w:val="right"/>
              <w:rPr>
                <w:rFonts w:ascii="Arial" w:eastAsia="Times New Roman" w:hAnsi="Arial" w:cs="Arial"/>
                <w:sz w:val="24"/>
                <w:szCs w:val="24"/>
                <w:lang w:val="en-US"/>
              </w:rPr>
            </w:pPr>
            <w:r>
              <w:rPr>
                <w:rFonts w:ascii="Arial" w:eastAsia="Times New Roman" w:hAnsi="Arial" w:cs="Arial"/>
                <w:sz w:val="24"/>
                <w:szCs w:val="24"/>
                <w:lang w:val="en-US"/>
              </w:rPr>
              <w:t>-4%</w:t>
            </w:r>
          </w:p>
        </w:tc>
      </w:tr>
    </w:tbl>
    <w:p w:rsidR="00612231" w:rsidRPr="007830CC" w:rsidRDefault="001C679B" w:rsidP="007E6B47">
      <w:pPr>
        <w:spacing w:after="0"/>
        <w:rPr>
          <w:rFonts w:ascii="Arial" w:eastAsia="Times New Roman" w:hAnsi="Arial" w:cs="Arial"/>
          <w:sz w:val="24"/>
          <w:szCs w:val="24"/>
          <w:lang w:val="en-US"/>
        </w:rPr>
      </w:pPr>
      <w:r>
        <w:rPr>
          <w:rFonts w:ascii="Arial" w:eastAsia="Times New Roman" w:hAnsi="Arial" w:cs="Arial"/>
          <w:sz w:val="24"/>
          <w:szCs w:val="24"/>
          <w:lang w:val="en-US"/>
        </w:rPr>
        <w:t xml:space="preserve">Netherlands export to Germany are re-exports, which reflect some difficulties with the data. Other changes reflect </w:t>
      </w:r>
      <w:proofErr w:type="spellStart"/>
      <w:r>
        <w:rPr>
          <w:rFonts w:ascii="Arial" w:eastAsia="Times New Roman" w:hAnsi="Arial" w:cs="Arial"/>
          <w:sz w:val="24"/>
          <w:szCs w:val="24"/>
          <w:lang w:val="en-US"/>
        </w:rPr>
        <w:t>phytosanitary</w:t>
      </w:r>
      <w:proofErr w:type="spellEnd"/>
      <w:r>
        <w:rPr>
          <w:rFonts w:ascii="Arial" w:eastAsia="Times New Roman" w:hAnsi="Arial" w:cs="Arial"/>
          <w:sz w:val="24"/>
          <w:szCs w:val="24"/>
          <w:lang w:val="en-US"/>
        </w:rPr>
        <w:t xml:space="preserve"> challenges, adverse climati</w:t>
      </w:r>
      <w:r w:rsidR="00E40090">
        <w:rPr>
          <w:rFonts w:ascii="Arial" w:eastAsia="Times New Roman" w:hAnsi="Arial" w:cs="Arial"/>
          <w:sz w:val="24"/>
          <w:szCs w:val="24"/>
          <w:lang w:val="en-US"/>
        </w:rPr>
        <w:t xml:space="preserve">c conditions, political impact </w:t>
      </w:r>
      <w:r>
        <w:rPr>
          <w:rFonts w:ascii="Arial" w:eastAsia="Times New Roman" w:hAnsi="Arial" w:cs="Arial"/>
          <w:sz w:val="24"/>
          <w:szCs w:val="24"/>
          <w:lang w:val="en-US"/>
        </w:rPr>
        <w:t>and trade agreements</w:t>
      </w:r>
    </w:p>
    <w:p w:rsidR="00B673C4" w:rsidRPr="008756F8" w:rsidRDefault="00757321" w:rsidP="00757321">
      <w:pPr>
        <w:spacing w:after="0"/>
        <w:rPr>
          <w:rFonts w:ascii="Arial" w:eastAsia="Times New Roman" w:hAnsi="Arial" w:cs="Arial"/>
          <w:b/>
          <w:color w:val="C45911" w:themeColor="accent2" w:themeShade="BF"/>
          <w:sz w:val="24"/>
          <w:szCs w:val="24"/>
          <w:u w:val="single"/>
          <w:lang w:val="en-US"/>
        </w:rPr>
      </w:pPr>
      <w:r w:rsidRPr="008756F8">
        <w:rPr>
          <w:rFonts w:ascii="Arial" w:eastAsia="Times New Roman" w:hAnsi="Arial" w:cs="Arial"/>
          <w:b/>
          <w:color w:val="C45911" w:themeColor="accent2" w:themeShade="BF"/>
          <w:sz w:val="24"/>
          <w:szCs w:val="24"/>
          <w:u w:val="single"/>
          <w:lang w:val="en-US"/>
        </w:rPr>
        <w:t>ANNUAL CITRUS COORDINATING MEETING</w:t>
      </w:r>
    </w:p>
    <w:p w:rsidR="005E05EF" w:rsidRPr="001C679B" w:rsidRDefault="001C679B" w:rsidP="005E05EF">
      <w:pPr>
        <w:spacing w:after="0"/>
        <w:rPr>
          <w:rFonts w:ascii="Arial" w:hAnsi="Arial" w:cs="Arial"/>
          <w:sz w:val="24"/>
          <w:szCs w:val="24"/>
        </w:rPr>
      </w:pPr>
      <w:r>
        <w:rPr>
          <w:rFonts w:ascii="Arial" w:hAnsi="Arial" w:cs="Arial"/>
          <w:sz w:val="24"/>
          <w:szCs w:val="24"/>
        </w:rPr>
        <w:t xml:space="preserve">Reminder: </w:t>
      </w:r>
      <w:r w:rsidR="009D709A" w:rsidRPr="007830CC">
        <w:rPr>
          <w:rFonts w:ascii="Arial" w:hAnsi="Arial" w:cs="Arial"/>
          <w:sz w:val="24"/>
          <w:szCs w:val="24"/>
        </w:rPr>
        <w:t xml:space="preserve">Annual Coordinating meeting has been changed to </w:t>
      </w:r>
      <w:r w:rsidR="009D709A" w:rsidRPr="007830CC">
        <w:rPr>
          <w:rFonts w:ascii="Arial" w:hAnsi="Arial" w:cs="Arial"/>
          <w:b/>
          <w:color w:val="FF0000"/>
          <w:sz w:val="24"/>
          <w:szCs w:val="24"/>
        </w:rPr>
        <w:t xml:space="preserve">Wednesday 13 </w:t>
      </w:r>
      <w:r w:rsidR="00CF5E26" w:rsidRPr="007830CC">
        <w:rPr>
          <w:rFonts w:ascii="Arial" w:hAnsi="Arial" w:cs="Arial"/>
          <w:b/>
          <w:color w:val="FF0000"/>
          <w:sz w:val="24"/>
          <w:szCs w:val="24"/>
        </w:rPr>
        <w:t>November</w:t>
      </w:r>
      <w:r>
        <w:rPr>
          <w:rFonts w:ascii="Arial" w:hAnsi="Arial" w:cs="Arial"/>
          <w:b/>
          <w:color w:val="FF0000"/>
          <w:sz w:val="24"/>
          <w:szCs w:val="24"/>
        </w:rPr>
        <w:t xml:space="preserve"> 2019 from 09h00 to 13h00, </w:t>
      </w:r>
      <w:r w:rsidR="009D709A" w:rsidRPr="007830CC">
        <w:rPr>
          <w:rFonts w:ascii="Arial" w:hAnsi="Arial" w:cs="Arial"/>
          <w:sz w:val="24"/>
          <w:szCs w:val="24"/>
        </w:rPr>
        <w:t>Nelspruit area – venue will be</w:t>
      </w:r>
      <w:r>
        <w:rPr>
          <w:rFonts w:ascii="Arial" w:hAnsi="Arial" w:cs="Arial"/>
          <w:sz w:val="24"/>
          <w:szCs w:val="24"/>
        </w:rPr>
        <w:t xml:space="preserve"> communicated when finalised. </w:t>
      </w:r>
    </w:p>
    <w:p w:rsidR="0067189B" w:rsidRDefault="00595E08" w:rsidP="00595E08">
      <w:pPr>
        <w:spacing w:after="0"/>
        <w:rPr>
          <w:rFonts w:ascii="Arial" w:eastAsia="Times New Roman" w:hAnsi="Arial" w:cs="Arial"/>
          <w:b/>
          <w:color w:val="C45911" w:themeColor="accent2" w:themeShade="BF"/>
          <w:u w:val="single"/>
          <w:lang w:val="en-US"/>
        </w:rPr>
      </w:pPr>
      <w:r w:rsidRPr="007830CC">
        <w:rPr>
          <w:rFonts w:ascii="Arial" w:eastAsia="Times New Roman" w:hAnsi="Arial" w:cs="Arial"/>
          <w:b/>
          <w:color w:val="C45911" w:themeColor="accent2" w:themeShade="BF"/>
          <w:u w:val="single"/>
          <w:lang w:val="en-US"/>
        </w:rPr>
        <w:t>PACKED AND SHIPPED</w:t>
      </w:r>
    </w:p>
    <w:p w:rsidR="00E40090" w:rsidRPr="00836320" w:rsidRDefault="00E40090" w:rsidP="00595E08">
      <w:pPr>
        <w:spacing w:after="0"/>
        <w:rPr>
          <w:rFonts w:ascii="Arial" w:eastAsia="Times New Roman" w:hAnsi="Arial" w:cs="Arial"/>
          <w:b/>
          <w:color w:val="C45911" w:themeColor="accent2" w:themeShade="BF"/>
          <w:sz w:val="6"/>
          <w:szCs w:val="6"/>
          <w:u w:val="single"/>
          <w:lang w:val="en-US"/>
        </w:rPr>
      </w:pPr>
    </w:p>
    <w:p w:rsidR="007830CC" w:rsidRDefault="006852F9" w:rsidP="007830CC">
      <w:r w:rsidRPr="006852F9">
        <w:drawing>
          <wp:inline distT="0" distB="0" distL="0" distR="0">
            <wp:extent cx="652462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1714500"/>
                    </a:xfrm>
                    <a:prstGeom prst="rect">
                      <a:avLst/>
                    </a:prstGeom>
                    <a:noFill/>
                    <a:ln>
                      <a:noFill/>
                    </a:ln>
                  </pic:spPr>
                </pic:pic>
              </a:graphicData>
            </a:graphic>
          </wp:inline>
        </w:drawing>
      </w:r>
      <w:bookmarkStart w:id="0" w:name="_GoBack"/>
      <w:bookmarkEnd w:id="0"/>
    </w:p>
    <w:sectPr w:rsidR="007830CC"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15" w:rsidRDefault="006E0A15" w:rsidP="00595E08">
      <w:pPr>
        <w:spacing w:after="0" w:line="240" w:lineRule="auto"/>
      </w:pPr>
      <w:r>
        <w:separator/>
      </w:r>
    </w:p>
  </w:endnote>
  <w:endnote w:type="continuationSeparator" w:id="0">
    <w:p w:rsidR="006E0A15" w:rsidRDefault="006E0A1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DD3275" w:rsidRDefault="00DD3275" w:rsidP="00DD3275">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15" w:rsidRDefault="006E0A15" w:rsidP="00595E08">
      <w:pPr>
        <w:spacing w:after="0" w:line="240" w:lineRule="auto"/>
      </w:pPr>
      <w:r>
        <w:separator/>
      </w:r>
    </w:p>
  </w:footnote>
  <w:footnote w:type="continuationSeparator" w:id="0">
    <w:p w:rsidR="006E0A15" w:rsidRDefault="006E0A15"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175734"/>
    <w:rsid w:val="001757E7"/>
    <w:rsid w:val="001C679B"/>
    <w:rsid w:val="00225418"/>
    <w:rsid w:val="0023735C"/>
    <w:rsid w:val="002512C0"/>
    <w:rsid w:val="002D122B"/>
    <w:rsid w:val="00313CB1"/>
    <w:rsid w:val="00361403"/>
    <w:rsid w:val="003C27D4"/>
    <w:rsid w:val="003F0C6F"/>
    <w:rsid w:val="003F7804"/>
    <w:rsid w:val="004645E1"/>
    <w:rsid w:val="00495189"/>
    <w:rsid w:val="004C529E"/>
    <w:rsid w:val="004E0F63"/>
    <w:rsid w:val="0050561C"/>
    <w:rsid w:val="00562B1F"/>
    <w:rsid w:val="005822CF"/>
    <w:rsid w:val="005859D8"/>
    <w:rsid w:val="00595E08"/>
    <w:rsid w:val="005B6970"/>
    <w:rsid w:val="005B7B5D"/>
    <w:rsid w:val="005E05EF"/>
    <w:rsid w:val="005F2989"/>
    <w:rsid w:val="00600B79"/>
    <w:rsid w:val="00611C22"/>
    <w:rsid w:val="00612231"/>
    <w:rsid w:val="006254FA"/>
    <w:rsid w:val="0063644A"/>
    <w:rsid w:val="0067189B"/>
    <w:rsid w:val="006852F9"/>
    <w:rsid w:val="00690E5D"/>
    <w:rsid w:val="0069320C"/>
    <w:rsid w:val="0069350E"/>
    <w:rsid w:val="006A0B6E"/>
    <w:rsid w:val="006E0A15"/>
    <w:rsid w:val="006E394D"/>
    <w:rsid w:val="00732CB3"/>
    <w:rsid w:val="00756592"/>
    <w:rsid w:val="00757321"/>
    <w:rsid w:val="007830CC"/>
    <w:rsid w:val="007958FA"/>
    <w:rsid w:val="007E6B47"/>
    <w:rsid w:val="0081352C"/>
    <w:rsid w:val="00836320"/>
    <w:rsid w:val="00852AAD"/>
    <w:rsid w:val="0087221E"/>
    <w:rsid w:val="008755FB"/>
    <w:rsid w:val="008756F8"/>
    <w:rsid w:val="008A23F8"/>
    <w:rsid w:val="008B1479"/>
    <w:rsid w:val="008B5FDB"/>
    <w:rsid w:val="00953EE0"/>
    <w:rsid w:val="00954793"/>
    <w:rsid w:val="00954DBD"/>
    <w:rsid w:val="00955884"/>
    <w:rsid w:val="0097764C"/>
    <w:rsid w:val="009A1B72"/>
    <w:rsid w:val="009D0040"/>
    <w:rsid w:val="009D709A"/>
    <w:rsid w:val="00A31AD6"/>
    <w:rsid w:val="00A837EA"/>
    <w:rsid w:val="00AC7D19"/>
    <w:rsid w:val="00B0109A"/>
    <w:rsid w:val="00B04E97"/>
    <w:rsid w:val="00B06DA7"/>
    <w:rsid w:val="00B673C4"/>
    <w:rsid w:val="00BA3973"/>
    <w:rsid w:val="00BB4B0B"/>
    <w:rsid w:val="00BC0F93"/>
    <w:rsid w:val="00BE1805"/>
    <w:rsid w:val="00BF1983"/>
    <w:rsid w:val="00C02E4C"/>
    <w:rsid w:val="00C35B43"/>
    <w:rsid w:val="00C41489"/>
    <w:rsid w:val="00C510B2"/>
    <w:rsid w:val="00C51114"/>
    <w:rsid w:val="00CF5E26"/>
    <w:rsid w:val="00D67D4B"/>
    <w:rsid w:val="00DA0CE9"/>
    <w:rsid w:val="00DC4F50"/>
    <w:rsid w:val="00DD3275"/>
    <w:rsid w:val="00E017AC"/>
    <w:rsid w:val="00E0676F"/>
    <w:rsid w:val="00E14724"/>
    <w:rsid w:val="00E31082"/>
    <w:rsid w:val="00E40090"/>
    <w:rsid w:val="00EA7106"/>
    <w:rsid w:val="00EA717C"/>
    <w:rsid w:val="00F34519"/>
    <w:rsid w:val="00F67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ph@cga.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2019-10-10T14:42:00Z</dcterms:created>
  <dcterms:modified xsi:type="dcterms:W3CDTF">2019-10-11T11:55:00Z</dcterms:modified>
</cp:coreProperties>
</file>