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F0386E">
        <w:rPr>
          <w:rFonts w:ascii="Comic Sans MS" w:hAnsi="Comic Sans MS"/>
          <w:b/>
          <w:i/>
          <w:sz w:val="40"/>
          <w:szCs w:val="40"/>
        </w:rPr>
        <w:t>44</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361403">
      <w:pPr>
        <w:rPr>
          <w:rFonts w:ascii="Comic Sans MS" w:hAnsi="Comic Sans MS"/>
          <w:i/>
          <w:sz w:val="21"/>
          <w:szCs w:val="21"/>
        </w:rPr>
      </w:pPr>
      <w:r w:rsidRPr="00EF7AA5">
        <w:rPr>
          <w:rFonts w:ascii="Comic Sans MS" w:hAnsi="Comic Sans MS"/>
          <w:i/>
          <w:sz w:val="21"/>
          <w:szCs w:val="21"/>
        </w:rPr>
        <w:t xml:space="preserve">Justin Chadwick </w:t>
      </w:r>
      <w:r w:rsidR="00F0386E">
        <w:rPr>
          <w:rFonts w:ascii="Comic Sans MS" w:hAnsi="Comic Sans MS"/>
          <w:i/>
          <w:sz w:val="21"/>
          <w:szCs w:val="21"/>
        </w:rPr>
        <w:t>1 November</w:t>
      </w:r>
      <w:r>
        <w:rPr>
          <w:rFonts w:ascii="Comic Sans MS" w:hAnsi="Comic Sans MS"/>
          <w:i/>
          <w:sz w:val="21"/>
          <w:szCs w:val="21"/>
        </w:rPr>
        <w:t xml:space="preserve"> </w:t>
      </w:r>
      <w:r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3F6E31">
        <w:trPr>
          <w:trHeight w:val="205"/>
          <w:tblCellSpacing w:w="0" w:type="dxa"/>
        </w:trPr>
        <w:tc>
          <w:tcPr>
            <w:tcW w:w="10824" w:type="dxa"/>
            <w:vAlign w:val="center"/>
          </w:tcPr>
          <w:p w:rsidR="00836320" w:rsidRPr="00897D4D" w:rsidRDefault="00EA717C" w:rsidP="002A3E51">
            <w:pPr>
              <w:ind w:right="-329"/>
              <w:rPr>
                <w:rFonts w:ascii="Arial" w:hAnsi="Arial" w:cs="Arial"/>
                <w:b/>
                <w:i/>
                <w:lang w:val="en-US"/>
              </w:rPr>
            </w:pPr>
            <w:r w:rsidRPr="00897D4D">
              <w:rPr>
                <w:rFonts w:ascii="Arial" w:hAnsi="Arial" w:cs="Arial"/>
                <w:b/>
                <w:i/>
                <w:lang w:val="en-US"/>
              </w:rPr>
              <w:t>“</w:t>
            </w:r>
            <w:r w:rsidR="00230CA5" w:rsidRPr="00897D4D">
              <w:rPr>
                <w:rFonts w:ascii="Arial" w:hAnsi="Arial" w:cs="Arial"/>
                <w:b/>
                <w:i/>
                <w:lang w:val="en-US"/>
              </w:rPr>
              <w:t xml:space="preserve">Our words have power, but our actions shape lives.” – Rachel Hollis </w:t>
            </w:r>
          </w:p>
          <w:p w:rsidR="00E15EF1" w:rsidRPr="00E15EF1" w:rsidRDefault="00E15EF1" w:rsidP="002A3E51">
            <w:pPr>
              <w:ind w:right="-329"/>
              <w:rPr>
                <w:rFonts w:ascii="Arial" w:hAnsi="Arial" w:cs="Arial"/>
                <w:b/>
                <w:i/>
                <w:sz w:val="6"/>
                <w:szCs w:val="6"/>
                <w:lang w:val="en"/>
              </w:rPr>
            </w:pPr>
          </w:p>
        </w:tc>
      </w:tr>
    </w:tbl>
    <w:p w:rsidR="003F7804" w:rsidRPr="0035116A" w:rsidRDefault="00230CA5" w:rsidP="00940202">
      <w:pPr>
        <w:rPr>
          <w:rFonts w:asciiTheme="minorHAnsi" w:eastAsia="Times New Roman" w:hAnsiTheme="minorHAnsi" w:cstheme="minorHAnsi"/>
          <w:b/>
          <w:color w:val="CC3300"/>
          <w:sz w:val="24"/>
          <w:szCs w:val="24"/>
          <w:u w:val="single"/>
          <w:lang w:val="en-US"/>
        </w:rPr>
      </w:pPr>
      <w:r w:rsidRPr="0035116A">
        <w:rPr>
          <w:rFonts w:asciiTheme="minorHAnsi" w:eastAsia="Times New Roman" w:hAnsiTheme="minorHAnsi" w:cstheme="minorHAnsi"/>
          <w:b/>
          <w:color w:val="CC3300"/>
          <w:sz w:val="24"/>
          <w:szCs w:val="24"/>
          <w:u w:val="single"/>
          <w:lang w:val="en-US"/>
        </w:rPr>
        <w:t xml:space="preserve">2019 GRAPEFRUIT SEASONAL REVIEW </w:t>
      </w:r>
      <w:r w:rsidR="00E245E6">
        <w:rPr>
          <w:rFonts w:asciiTheme="minorHAnsi" w:eastAsia="Times New Roman" w:hAnsiTheme="minorHAnsi" w:cstheme="minorHAnsi"/>
          <w:b/>
          <w:color w:val="CC3300"/>
          <w:sz w:val="24"/>
          <w:szCs w:val="24"/>
          <w:u w:val="single"/>
          <w:lang w:val="en-US"/>
        </w:rPr>
        <w:t>(Prepared by Po</w:t>
      </w:r>
      <w:r w:rsidR="001C1F47">
        <w:rPr>
          <w:rFonts w:asciiTheme="minorHAnsi" w:eastAsia="Times New Roman" w:hAnsiTheme="minorHAnsi" w:cstheme="minorHAnsi"/>
          <w:b/>
          <w:color w:val="CC3300"/>
          <w:sz w:val="24"/>
          <w:szCs w:val="24"/>
          <w:u w:val="single"/>
          <w:lang w:val="en-US"/>
        </w:rPr>
        <w:t>r</w:t>
      </w:r>
      <w:r w:rsidR="00E245E6">
        <w:rPr>
          <w:rFonts w:asciiTheme="minorHAnsi" w:eastAsia="Times New Roman" w:hAnsiTheme="minorHAnsi" w:cstheme="minorHAnsi"/>
          <w:b/>
          <w:color w:val="CC3300"/>
          <w:sz w:val="24"/>
          <w:szCs w:val="24"/>
          <w:u w:val="single"/>
          <w:lang w:val="en-US"/>
        </w:rPr>
        <w:t>tia Magwaza, CGA Research Economist)</w:t>
      </w:r>
    </w:p>
    <w:p w:rsidR="00230CA5" w:rsidRPr="00916676" w:rsidRDefault="00E15EF1" w:rsidP="00E15EF1">
      <w:pPr>
        <w:rPr>
          <w:rFonts w:asciiTheme="minorHAnsi" w:eastAsia="Times New Roman" w:hAnsiTheme="minorHAnsi" w:cstheme="minorHAnsi"/>
          <w:b/>
          <w:color w:val="C45911" w:themeColor="accent2" w:themeShade="BF"/>
          <w:sz w:val="23"/>
          <w:szCs w:val="23"/>
          <w:u w:val="single"/>
          <w:lang w:val="en-US"/>
        </w:rPr>
      </w:pPr>
      <w:r w:rsidRPr="00916676">
        <w:rPr>
          <w:rFonts w:asciiTheme="minorHAnsi" w:hAnsiTheme="minorHAnsi" w:cstheme="minorHAnsi"/>
          <w:noProof/>
          <w:sz w:val="23"/>
          <w:szCs w:val="23"/>
          <w:lang w:eastAsia="en-ZA"/>
        </w:rPr>
        <w:drawing>
          <wp:anchor distT="0" distB="0" distL="114300" distR="114300" simplePos="0" relativeHeight="251660288" behindDoc="1" locked="0" layoutInCell="1" allowOverlap="1" wp14:anchorId="089CE144" wp14:editId="057AAFDE">
            <wp:simplePos x="0" y="0"/>
            <wp:positionH relativeFrom="column">
              <wp:posOffset>66675</wp:posOffset>
            </wp:positionH>
            <wp:positionV relativeFrom="paragraph">
              <wp:posOffset>94615</wp:posOffset>
            </wp:positionV>
            <wp:extent cx="4142105" cy="1628775"/>
            <wp:effectExtent l="0" t="0" r="0" b="9525"/>
            <wp:wrapTight wrapText="bothSides">
              <wp:wrapPolygon edited="0">
                <wp:start x="0" y="0"/>
                <wp:lineTo x="0" y="21474"/>
                <wp:lineTo x="21458" y="21474"/>
                <wp:lineTo x="21458" y="0"/>
                <wp:lineTo x="0" y="0"/>
              </wp:wrapPolygon>
            </wp:wrapTight>
            <wp:docPr id="2" name="Picture 2" descr="cid:image001.png@01D58283.878EB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8283.878EB1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4210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CA5" w:rsidRPr="00916676">
        <w:rPr>
          <w:rFonts w:asciiTheme="minorHAnsi" w:hAnsiTheme="minorHAnsi" w:cstheme="minorHAnsi"/>
          <w:bCs/>
          <w:sz w:val="23"/>
          <w:szCs w:val="23"/>
        </w:rPr>
        <w:t xml:space="preserve">Grapefruit packing for export was estimated at 14.2 million cartons (17 kilogram equivalents), almost 14% down on last year’s 16.5 million cartons. This was due to dry conditions in all grapefruit regions. The estimate (prepared in mid-March) also anticipated a predominance of smaller sized fruit. </w:t>
      </w:r>
    </w:p>
    <w:p w:rsidR="00230CA5" w:rsidRPr="00916676" w:rsidRDefault="00230CA5" w:rsidP="00E15EF1">
      <w:pPr>
        <w:rPr>
          <w:rFonts w:asciiTheme="minorHAnsi" w:hAnsiTheme="minorHAnsi" w:cstheme="minorHAnsi"/>
          <w:bCs/>
          <w:sz w:val="23"/>
          <w:szCs w:val="23"/>
        </w:rPr>
      </w:pPr>
      <w:r w:rsidRPr="00916676">
        <w:rPr>
          <w:rFonts w:asciiTheme="minorHAnsi" w:hAnsiTheme="minorHAnsi" w:cstheme="minorHAnsi"/>
          <w:bCs/>
          <w:sz w:val="23"/>
          <w:szCs w:val="23"/>
        </w:rPr>
        <w:t xml:space="preserve">Estimating the 2019 grapefruit crop proved to be challenging for many of the Grapefruit Focus Group members. The initial estimate was 15.1 million cartons – the final tally being almost 6.3% under the estimate. Within these estimates, some GFG </w:t>
      </w:r>
      <w:r w:rsidRPr="0035116A">
        <w:rPr>
          <w:rFonts w:asciiTheme="minorHAnsi" w:hAnsiTheme="minorHAnsi" w:cstheme="minorHAnsi"/>
          <w:sz w:val="23"/>
          <w:szCs w:val="23"/>
        </w:rPr>
        <w:t>members were way out (Pongola packed 26% more than estimate, Patensie 15%). Onderberg was 17% less than</w:t>
      </w:r>
      <w:r w:rsidRPr="00916676">
        <w:rPr>
          <w:rFonts w:asciiTheme="minorHAnsi" w:hAnsiTheme="minorHAnsi" w:cstheme="minorHAnsi"/>
          <w:bCs/>
          <w:sz w:val="23"/>
          <w:szCs w:val="23"/>
        </w:rPr>
        <w:t xml:space="preserve"> estimated. Others were within the acceptable 10% difference -  Oranje River 9% over while Sunday’s River Valley was 10% less than estimated. </w:t>
      </w:r>
    </w:p>
    <w:p w:rsidR="00230CA5" w:rsidRPr="002B2987" w:rsidRDefault="00E15EF1" w:rsidP="00E15EF1">
      <w:r w:rsidRPr="00916676">
        <w:rPr>
          <w:noProof/>
          <w:sz w:val="23"/>
          <w:szCs w:val="23"/>
          <w:lang w:eastAsia="en-ZA"/>
        </w:rPr>
        <w:drawing>
          <wp:anchor distT="0" distB="0" distL="114300" distR="114300" simplePos="0" relativeHeight="251661312" behindDoc="1" locked="0" layoutInCell="1" allowOverlap="1" wp14:anchorId="359D1501" wp14:editId="663B94C3">
            <wp:simplePos x="0" y="0"/>
            <wp:positionH relativeFrom="column">
              <wp:posOffset>-28575</wp:posOffset>
            </wp:positionH>
            <wp:positionV relativeFrom="paragraph">
              <wp:posOffset>34925</wp:posOffset>
            </wp:positionV>
            <wp:extent cx="4237990" cy="2038350"/>
            <wp:effectExtent l="0" t="0" r="10160" b="0"/>
            <wp:wrapTight wrapText="bothSides">
              <wp:wrapPolygon edited="0">
                <wp:start x="0" y="0"/>
                <wp:lineTo x="0" y="21398"/>
                <wp:lineTo x="21555" y="21398"/>
                <wp:lineTo x="21555"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30CA5" w:rsidRPr="00916676">
        <w:rPr>
          <w:sz w:val="23"/>
          <w:szCs w:val="23"/>
        </w:rPr>
        <w:t>Netherlands remains the global leader in terms of importation of the Southern African grapefruit – importing some 70 000 tonnes. China imports have fallen from 52 000 tonnes in 2018, to 35 000 in 2019. China was oversupplied early with small sized fruit and poor colouring which contributed to prices dropping.  Japan (29 000), Russian (16 000) and UK (10 000) round out the top five</w:t>
      </w:r>
      <w:r w:rsidR="00230CA5">
        <w:t xml:space="preserve">. </w:t>
      </w:r>
    </w:p>
    <w:p w:rsidR="0035116A" w:rsidRDefault="0035116A" w:rsidP="00E15EF1">
      <w:pPr>
        <w:rPr>
          <w:rFonts w:asciiTheme="minorHAnsi" w:eastAsia="Times New Roman" w:hAnsiTheme="minorHAnsi" w:cstheme="minorHAnsi"/>
          <w:b/>
          <w:color w:val="C45911" w:themeColor="accent2" w:themeShade="BF"/>
          <w:sz w:val="23"/>
          <w:szCs w:val="23"/>
          <w:u w:val="single"/>
          <w:lang w:val="en-US"/>
        </w:rPr>
      </w:pPr>
    </w:p>
    <w:p w:rsidR="0035116A" w:rsidRPr="0035116A" w:rsidRDefault="00897D4D" w:rsidP="0035116A">
      <w:pPr>
        <w:rPr>
          <w:rFonts w:asciiTheme="minorHAnsi" w:eastAsia="Times New Roman" w:hAnsiTheme="minorHAnsi" w:cstheme="minorHAnsi"/>
          <w:b/>
          <w:color w:val="C45911" w:themeColor="accent2" w:themeShade="BF"/>
          <w:sz w:val="24"/>
          <w:szCs w:val="24"/>
          <w:u w:val="single"/>
          <w:lang w:val="en-US"/>
        </w:rPr>
      </w:pPr>
      <w:r w:rsidRPr="0035116A">
        <w:rPr>
          <w:rFonts w:asciiTheme="minorHAnsi" w:eastAsia="Times New Roman" w:hAnsiTheme="minorHAnsi" w:cstheme="minorHAnsi"/>
          <w:b/>
          <w:color w:val="C45911" w:themeColor="accent2" w:themeShade="BF"/>
          <w:sz w:val="24"/>
          <w:szCs w:val="24"/>
          <w:u w:val="single"/>
          <w:lang w:val="en-US"/>
        </w:rPr>
        <w:t>CITRUS PHYTOSANITARY MARKET REGISTRATION</w:t>
      </w:r>
    </w:p>
    <w:p w:rsidR="0035116A" w:rsidRDefault="0035116A" w:rsidP="0035116A">
      <w:r>
        <w:t>Citrus growers and packhouses are reminded to register for Phytosanitary markets for the 2020 export season. All registrations should be completed by 13</w:t>
      </w:r>
      <w:r>
        <w:rPr>
          <w:vertAlign w:val="superscript"/>
        </w:rPr>
        <w:t>th</w:t>
      </w:r>
      <w:r>
        <w:t xml:space="preserve"> November 2019, and no late re</w:t>
      </w:r>
      <w:r w:rsidR="001C1F47">
        <w:t>gistration will be entertained </w:t>
      </w:r>
      <w:bookmarkStart w:id="0" w:name="_GoBack"/>
      <w:bookmarkEnd w:id="0"/>
      <w:r>
        <w:t xml:space="preserve">by DAFF. Registration should be done on the Phytclean website </w:t>
      </w:r>
      <w:hyperlink r:id="rId10" w:history="1">
        <w:r w:rsidRPr="007C0B47">
          <w:rPr>
            <w:rStyle w:val="Hyperlink"/>
          </w:rPr>
          <w:t>www.phytclean.co.za</w:t>
        </w:r>
      </w:hyperlink>
      <w:r>
        <w:t xml:space="preserve"> </w:t>
      </w:r>
    </w:p>
    <w:p w:rsidR="0035116A" w:rsidRDefault="0035116A" w:rsidP="0035116A">
      <w:r>
        <w:t xml:space="preserve">                                                                                                 </w:t>
      </w:r>
    </w:p>
    <w:p w:rsidR="0067189B" w:rsidRPr="0035116A" w:rsidRDefault="00595E08" w:rsidP="0035116A">
      <w:pPr>
        <w:rPr>
          <w:rFonts w:asciiTheme="minorHAnsi" w:eastAsia="Times New Roman" w:hAnsiTheme="minorHAnsi" w:cs="Arial"/>
          <w:b/>
          <w:color w:val="C45911" w:themeColor="accent2" w:themeShade="BF"/>
          <w:sz w:val="24"/>
          <w:szCs w:val="24"/>
          <w:u w:val="single"/>
          <w:lang w:val="en-US"/>
        </w:rPr>
      </w:pPr>
      <w:r w:rsidRPr="0035116A">
        <w:rPr>
          <w:rFonts w:asciiTheme="minorHAnsi" w:eastAsia="Times New Roman" w:hAnsiTheme="minorHAnsi" w:cs="Arial"/>
          <w:b/>
          <w:color w:val="C45911" w:themeColor="accent2" w:themeShade="BF"/>
          <w:sz w:val="24"/>
          <w:szCs w:val="24"/>
          <w:u w:val="single"/>
          <w:lang w:val="en-US"/>
        </w:rPr>
        <w:t>PACKED AND SHIPPED</w:t>
      </w:r>
    </w:p>
    <w:p w:rsidR="00E40090" w:rsidRPr="00836320" w:rsidRDefault="00E40090" w:rsidP="00595E08">
      <w:pPr>
        <w:rPr>
          <w:rFonts w:ascii="Arial" w:eastAsia="Times New Roman" w:hAnsi="Arial" w:cs="Arial"/>
          <w:b/>
          <w:color w:val="C45911" w:themeColor="accent2" w:themeShade="BF"/>
          <w:sz w:val="6"/>
          <w:szCs w:val="6"/>
          <w:u w:val="single"/>
          <w:lang w:val="en-US"/>
        </w:rPr>
      </w:pPr>
    </w:p>
    <w:p w:rsidR="007830CC" w:rsidRDefault="009C1CCB" w:rsidP="007830CC">
      <w:r>
        <w:rPr>
          <w:noProof/>
          <w:lang w:eastAsia="en-ZA"/>
        </w:rPr>
        <w:drawing>
          <wp:inline distT="0" distB="0" distL="0" distR="0">
            <wp:extent cx="6938098" cy="1501796"/>
            <wp:effectExtent l="0" t="0" r="0" b="3175"/>
            <wp:docPr id="4" name="Picture 4" descr="cid:image004.png@01D58FFC.D141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8FFC.D141AB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007517" cy="1516822"/>
                    </a:xfrm>
                    <a:prstGeom prst="rect">
                      <a:avLst/>
                    </a:prstGeom>
                    <a:noFill/>
                    <a:ln>
                      <a:noFill/>
                    </a:ln>
                  </pic:spPr>
                </pic:pic>
              </a:graphicData>
            </a:graphic>
          </wp:inline>
        </w:drawing>
      </w:r>
    </w:p>
    <w:sectPr w:rsidR="007830CC" w:rsidSect="005859D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FB" w:rsidRDefault="009948FB" w:rsidP="00595E08">
      <w:r>
        <w:separator/>
      </w:r>
    </w:p>
  </w:endnote>
  <w:endnote w:type="continuationSeparator" w:id="0">
    <w:p w:rsidR="009948FB" w:rsidRDefault="009948FB" w:rsidP="0059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75" w:rsidRPr="00EF7AA5" w:rsidRDefault="00DD3275" w:rsidP="00DD3275">
    <w:pPr>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DD3275" w:rsidRPr="00EF7AA5" w:rsidRDefault="00DD3275" w:rsidP="00DD3275">
    <w:pPr>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DD3275" w:rsidRDefault="00DD3275" w:rsidP="00DD3275">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FB" w:rsidRDefault="009948FB" w:rsidP="00595E08">
      <w:r>
        <w:separator/>
      </w:r>
    </w:p>
  </w:footnote>
  <w:footnote w:type="continuationSeparator" w:id="0">
    <w:p w:rsidR="009948FB" w:rsidRDefault="009948FB" w:rsidP="0059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A39E7"/>
    <w:rsid w:val="000D7425"/>
    <w:rsid w:val="000F5B14"/>
    <w:rsid w:val="00110F70"/>
    <w:rsid w:val="00122FC7"/>
    <w:rsid w:val="00174465"/>
    <w:rsid w:val="00175734"/>
    <w:rsid w:val="001757E7"/>
    <w:rsid w:val="001B203D"/>
    <w:rsid w:val="001C1F47"/>
    <w:rsid w:val="001C679B"/>
    <w:rsid w:val="001D573C"/>
    <w:rsid w:val="002176D6"/>
    <w:rsid w:val="00225418"/>
    <w:rsid w:val="00230CA5"/>
    <w:rsid w:val="0023735C"/>
    <w:rsid w:val="002512C0"/>
    <w:rsid w:val="00297526"/>
    <w:rsid w:val="002A3E51"/>
    <w:rsid w:val="002D122B"/>
    <w:rsid w:val="00313CB1"/>
    <w:rsid w:val="0035116A"/>
    <w:rsid w:val="00361403"/>
    <w:rsid w:val="003C27D4"/>
    <w:rsid w:val="003F0C6F"/>
    <w:rsid w:val="003F6E31"/>
    <w:rsid w:val="003F7804"/>
    <w:rsid w:val="004645E1"/>
    <w:rsid w:val="00495189"/>
    <w:rsid w:val="004C529E"/>
    <w:rsid w:val="004E0F63"/>
    <w:rsid w:val="0050561C"/>
    <w:rsid w:val="00562B1F"/>
    <w:rsid w:val="005822CF"/>
    <w:rsid w:val="005859D8"/>
    <w:rsid w:val="00595E08"/>
    <w:rsid w:val="005B6970"/>
    <w:rsid w:val="005B7B5D"/>
    <w:rsid w:val="005E05EF"/>
    <w:rsid w:val="005F2989"/>
    <w:rsid w:val="00600B79"/>
    <w:rsid w:val="006042E1"/>
    <w:rsid w:val="00611C22"/>
    <w:rsid w:val="00612231"/>
    <w:rsid w:val="006254FA"/>
    <w:rsid w:val="0063644A"/>
    <w:rsid w:val="0067189B"/>
    <w:rsid w:val="0068168D"/>
    <w:rsid w:val="006852F9"/>
    <w:rsid w:val="00690E5D"/>
    <w:rsid w:val="0069320C"/>
    <w:rsid w:val="0069350E"/>
    <w:rsid w:val="006A0B6E"/>
    <w:rsid w:val="006E0A15"/>
    <w:rsid w:val="006E394D"/>
    <w:rsid w:val="00732CB3"/>
    <w:rsid w:val="00756592"/>
    <w:rsid w:val="00757321"/>
    <w:rsid w:val="00761318"/>
    <w:rsid w:val="007830CC"/>
    <w:rsid w:val="007958FA"/>
    <w:rsid w:val="007A6F34"/>
    <w:rsid w:val="007D4D85"/>
    <w:rsid w:val="007E6B47"/>
    <w:rsid w:val="0080685F"/>
    <w:rsid w:val="0081352C"/>
    <w:rsid w:val="00836320"/>
    <w:rsid w:val="0085133F"/>
    <w:rsid w:val="00852AAD"/>
    <w:rsid w:val="008602C5"/>
    <w:rsid w:val="0087221E"/>
    <w:rsid w:val="008755FB"/>
    <w:rsid w:val="008756F8"/>
    <w:rsid w:val="00897D4D"/>
    <w:rsid w:val="008A23F8"/>
    <w:rsid w:val="008A3110"/>
    <w:rsid w:val="008B1479"/>
    <w:rsid w:val="008B5FDB"/>
    <w:rsid w:val="00912266"/>
    <w:rsid w:val="00916676"/>
    <w:rsid w:val="00940202"/>
    <w:rsid w:val="00953EE0"/>
    <w:rsid w:val="00954793"/>
    <w:rsid w:val="00954DBD"/>
    <w:rsid w:val="00955884"/>
    <w:rsid w:val="0097764C"/>
    <w:rsid w:val="009948FB"/>
    <w:rsid w:val="009A1B72"/>
    <w:rsid w:val="009A3F44"/>
    <w:rsid w:val="009C1CCB"/>
    <w:rsid w:val="009D0040"/>
    <w:rsid w:val="009D709A"/>
    <w:rsid w:val="00A20F03"/>
    <w:rsid w:val="00A31AD6"/>
    <w:rsid w:val="00A54595"/>
    <w:rsid w:val="00A837EA"/>
    <w:rsid w:val="00AA51FF"/>
    <w:rsid w:val="00AB5EC1"/>
    <w:rsid w:val="00AC7D19"/>
    <w:rsid w:val="00B0109A"/>
    <w:rsid w:val="00B04E97"/>
    <w:rsid w:val="00B06DA7"/>
    <w:rsid w:val="00B673C4"/>
    <w:rsid w:val="00B84D8D"/>
    <w:rsid w:val="00BA3973"/>
    <w:rsid w:val="00BB4B0B"/>
    <w:rsid w:val="00BC0F93"/>
    <w:rsid w:val="00BE1805"/>
    <w:rsid w:val="00BE7FB0"/>
    <w:rsid w:val="00BF0FF8"/>
    <w:rsid w:val="00BF1983"/>
    <w:rsid w:val="00C02E4C"/>
    <w:rsid w:val="00C35B43"/>
    <w:rsid w:val="00C41489"/>
    <w:rsid w:val="00C510B2"/>
    <w:rsid w:val="00C51114"/>
    <w:rsid w:val="00CF5E26"/>
    <w:rsid w:val="00D219B0"/>
    <w:rsid w:val="00D278A3"/>
    <w:rsid w:val="00D67D4B"/>
    <w:rsid w:val="00D94669"/>
    <w:rsid w:val="00DA0CE9"/>
    <w:rsid w:val="00DC4F50"/>
    <w:rsid w:val="00DD3275"/>
    <w:rsid w:val="00E017AC"/>
    <w:rsid w:val="00E0676F"/>
    <w:rsid w:val="00E14724"/>
    <w:rsid w:val="00E15EF1"/>
    <w:rsid w:val="00E245E6"/>
    <w:rsid w:val="00E31082"/>
    <w:rsid w:val="00E3323F"/>
    <w:rsid w:val="00E40090"/>
    <w:rsid w:val="00EA7106"/>
    <w:rsid w:val="00EA717C"/>
    <w:rsid w:val="00F0386E"/>
    <w:rsid w:val="00F34519"/>
    <w:rsid w:val="00F40554"/>
    <w:rsid w:val="00F679DE"/>
    <w:rsid w:val="00F867C4"/>
    <w:rsid w:val="00FA6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C47F"/>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pPr>
    <w:rPr>
      <w:rFonts w:ascii="Times New Roman" w:eastAsia="Times New Roman" w:hAnsi="Times New Roman"/>
      <w:sz w:val="24"/>
      <w:szCs w:val="24"/>
      <w:lang w:eastAsia="en-ZA"/>
    </w:rPr>
  </w:style>
  <w:style w:type="table" w:styleId="TableGrid">
    <w:name w:val="Table Grid"/>
    <w:basedOn w:val="TableNormal"/>
    <w:uiPriority w:val="39"/>
    <w:rsid w:val="0061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771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02406302">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730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8283.878EB16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cid:image004.png@01D58FFC.D141AB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hytclean.co.za" TargetMode="Externa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Grapefruit%20FG_2019\Copy%20of%20AH%20ShippingInf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en-ZA" sz="1100" baseline="0">
                <a:solidFill>
                  <a:sysClr val="windowText" lastClr="000000"/>
                </a:solidFill>
              </a:rPr>
              <a:t>TOP 5 IMPORTING </a:t>
            </a:r>
            <a:r>
              <a:rPr lang="en-ZA" sz="1100" b="1" baseline="0">
                <a:solidFill>
                  <a:sysClr val="windowText" lastClr="000000"/>
                </a:solidFill>
              </a:rPr>
              <a:t>COUNTRIES</a:t>
            </a:r>
          </a:p>
        </c:rich>
      </c:tx>
      <c:layout>
        <c:manualLayout>
          <c:xMode val="edge"/>
          <c:yMode val="edge"/>
          <c:x val="0.32544201559352071"/>
          <c:y val="7.9165066975063647E-2"/>
        </c:manualLayout>
      </c:layout>
      <c:overlay val="0"/>
      <c:spPr>
        <a:noFill/>
        <a:ln>
          <a:noFill/>
        </a:ln>
        <a:effectLst/>
      </c:spPr>
      <c:txPr>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889239946295296E-2"/>
          <c:y val="0.36505028455601468"/>
          <c:w val="0.89216350203752248"/>
          <c:h val="0.48747953535511029"/>
        </c:manualLayout>
      </c:layout>
      <c:barChart>
        <c:barDir val="col"/>
        <c:grouping val="clustered"/>
        <c:varyColors val="0"/>
        <c:ser>
          <c:idx val="0"/>
          <c:order val="0"/>
          <c:tx>
            <c:strRef>
              <c:f>Sheet1!$G$5</c:f>
              <c:strCache>
                <c:ptCount val="1"/>
                <c:pt idx="0">
                  <c:v>2019</c:v>
                </c:pt>
              </c:strCache>
            </c:strRef>
          </c:tx>
          <c:spPr>
            <a:solidFill>
              <a:srgbClr val="22DE1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Sheet1!$F$6:$F$10</c:f>
              <c:strCache>
                <c:ptCount val="5"/>
                <c:pt idx="0">
                  <c:v>Netherlands</c:v>
                </c:pt>
                <c:pt idx="1">
                  <c:v>China</c:v>
                </c:pt>
                <c:pt idx="2">
                  <c:v>Japan</c:v>
                </c:pt>
                <c:pt idx="3">
                  <c:v>Russia</c:v>
                </c:pt>
                <c:pt idx="4">
                  <c:v>UK</c:v>
                </c:pt>
              </c:strCache>
            </c:strRef>
          </c:cat>
          <c:val>
            <c:numRef>
              <c:f>Sheet1!$G$6:$G$10</c:f>
              <c:numCache>
                <c:formatCode>#,##0</c:formatCode>
                <c:ptCount val="5"/>
                <c:pt idx="0">
                  <c:v>70000</c:v>
                </c:pt>
                <c:pt idx="1">
                  <c:v>35000</c:v>
                </c:pt>
                <c:pt idx="2">
                  <c:v>29000</c:v>
                </c:pt>
                <c:pt idx="3">
                  <c:v>16000</c:v>
                </c:pt>
                <c:pt idx="4">
                  <c:v>10000</c:v>
                </c:pt>
              </c:numCache>
            </c:numRef>
          </c:val>
          <c:extLst>
            <c:ext xmlns:c16="http://schemas.microsoft.com/office/drawing/2014/chart" uri="{C3380CC4-5D6E-409C-BE32-E72D297353CC}">
              <c16:uniqueId val="{00000000-66DD-4420-ADC7-B4A9838B2372}"/>
            </c:ext>
          </c:extLst>
        </c:ser>
        <c:ser>
          <c:idx val="1"/>
          <c:order val="1"/>
          <c:tx>
            <c:strRef>
              <c:f>Sheet1!$H$5</c:f>
              <c:strCache>
                <c:ptCount val="1"/>
                <c:pt idx="0">
                  <c:v>2018</c:v>
                </c:pt>
              </c:strCache>
            </c:strRef>
          </c:tx>
          <c:spPr>
            <a:solidFill>
              <a:srgbClr val="F8569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Sheet1!$F$6:$F$10</c:f>
              <c:strCache>
                <c:ptCount val="5"/>
                <c:pt idx="0">
                  <c:v>Netherlands</c:v>
                </c:pt>
                <c:pt idx="1">
                  <c:v>China</c:v>
                </c:pt>
                <c:pt idx="2">
                  <c:v>Japan</c:v>
                </c:pt>
                <c:pt idx="3">
                  <c:v>Russia</c:v>
                </c:pt>
                <c:pt idx="4">
                  <c:v>UK</c:v>
                </c:pt>
              </c:strCache>
            </c:strRef>
          </c:cat>
          <c:val>
            <c:numRef>
              <c:f>Sheet1!$H$6:$H$10</c:f>
              <c:numCache>
                <c:formatCode>#,##0</c:formatCode>
                <c:ptCount val="5"/>
                <c:pt idx="0">
                  <c:v>70000</c:v>
                </c:pt>
                <c:pt idx="1">
                  <c:v>52000</c:v>
                </c:pt>
                <c:pt idx="2">
                  <c:v>35000</c:v>
                </c:pt>
                <c:pt idx="3">
                  <c:v>17000</c:v>
                </c:pt>
                <c:pt idx="4">
                  <c:v>11000</c:v>
                </c:pt>
              </c:numCache>
            </c:numRef>
          </c:val>
          <c:extLst>
            <c:ext xmlns:c16="http://schemas.microsoft.com/office/drawing/2014/chart" uri="{C3380CC4-5D6E-409C-BE32-E72D297353CC}">
              <c16:uniqueId val="{00000001-66DD-4420-ADC7-B4A9838B2372}"/>
            </c:ext>
          </c:extLst>
        </c:ser>
        <c:dLbls>
          <c:dLblPos val="outEnd"/>
          <c:showLegendKey val="0"/>
          <c:showVal val="1"/>
          <c:showCatName val="0"/>
          <c:showSerName val="0"/>
          <c:showPercent val="0"/>
          <c:showBubbleSize val="0"/>
        </c:dLbls>
        <c:gapWidth val="444"/>
        <c:overlap val="-90"/>
        <c:axId val="466899440"/>
        <c:axId val="466899768"/>
      </c:barChart>
      <c:catAx>
        <c:axId val="466899440"/>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466899768"/>
        <c:crosses val="autoZero"/>
        <c:auto val="1"/>
        <c:lblAlgn val="ctr"/>
        <c:lblOffset val="100"/>
        <c:noMultiLvlLbl val="0"/>
      </c:catAx>
      <c:valAx>
        <c:axId val="46689976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ZA" b="1">
                    <a:solidFill>
                      <a:sysClr val="windowText" lastClr="000000"/>
                    </a:solidFill>
                  </a:rPr>
                  <a:t>Tonnes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466899440"/>
        <c:crosses val="autoZero"/>
        <c:crossBetween val="between"/>
      </c:valAx>
      <c:spPr>
        <a:noFill/>
        <a:ln>
          <a:noFill/>
        </a:ln>
        <a:effectLst/>
      </c:spPr>
    </c:plotArea>
    <c:legend>
      <c:legendPos val="t"/>
      <c:layout>
        <c:manualLayout>
          <c:xMode val="edge"/>
          <c:yMode val="edge"/>
          <c:x val="0.50689299281404021"/>
          <c:y val="0.17008674842955429"/>
          <c:w val="0.20697109320019652"/>
          <c:h val="0.100957930662496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11</cp:revision>
  <dcterms:created xsi:type="dcterms:W3CDTF">2019-10-25T10:54:00Z</dcterms:created>
  <dcterms:modified xsi:type="dcterms:W3CDTF">2019-11-01T06:51:00Z</dcterms:modified>
</cp:coreProperties>
</file>