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0D" w:rsidRDefault="00777D0D" w:rsidP="00777D0D">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 xml:space="preserve">Fresh Plaza </w:t>
      </w:r>
    </w:p>
    <w:p w:rsidR="00777D0D" w:rsidRPr="00777D0D" w:rsidRDefault="00777D0D" w:rsidP="00777D0D">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777D0D">
        <w:rPr>
          <w:rFonts w:ascii="Cambria" w:eastAsia="Times New Roman" w:hAnsi="Cambria" w:cs="Times New Roman"/>
          <w:i/>
          <w:iCs/>
          <w:color w:val="000000"/>
          <w:sz w:val="26"/>
          <w:szCs w:val="26"/>
          <w:lang w:eastAsia="en-ZA"/>
        </w:rPr>
        <w:t>Proposed new levy to enable more agile and aggressive approach to market access</w:t>
      </w:r>
    </w:p>
    <w:p w:rsidR="00777D0D" w:rsidRPr="00777D0D" w:rsidRDefault="00777D0D" w:rsidP="00777D0D">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777D0D">
        <w:rPr>
          <w:rFonts w:ascii="Cambria" w:eastAsia="Times New Roman" w:hAnsi="Cambria" w:cs="Times New Roman"/>
          <w:b/>
          <w:bCs/>
          <w:color w:val="000000"/>
          <w:kern w:val="36"/>
          <w:sz w:val="34"/>
          <w:szCs w:val="34"/>
          <w:lang w:eastAsia="en-ZA"/>
        </w:rPr>
        <w:t xml:space="preserve">South African citrus growers approve </w:t>
      </w:r>
      <w:proofErr w:type="gramStart"/>
      <w:r w:rsidRPr="00777D0D">
        <w:rPr>
          <w:rFonts w:ascii="Cambria" w:eastAsia="Times New Roman" w:hAnsi="Cambria" w:cs="Times New Roman"/>
          <w:b/>
          <w:bCs/>
          <w:color w:val="000000"/>
          <w:kern w:val="36"/>
          <w:sz w:val="34"/>
          <w:szCs w:val="34"/>
          <w:lang w:eastAsia="en-ZA"/>
        </w:rPr>
        <w:t>5 million euro</w:t>
      </w:r>
      <w:proofErr w:type="gramEnd"/>
      <w:r w:rsidRPr="00777D0D">
        <w:rPr>
          <w:rFonts w:ascii="Cambria" w:eastAsia="Times New Roman" w:hAnsi="Cambria" w:cs="Times New Roman"/>
          <w:b/>
          <w:bCs/>
          <w:color w:val="000000"/>
          <w:kern w:val="36"/>
          <w:sz w:val="34"/>
          <w:szCs w:val="34"/>
          <w:lang w:eastAsia="en-ZA"/>
        </w:rPr>
        <w:t xml:space="preserve"> increase to R&amp;D spending</w:t>
      </w:r>
    </w:p>
    <w:p w:rsidR="00777D0D" w:rsidRPr="00777D0D" w:rsidRDefault="00777D0D" w:rsidP="00777D0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7D0D">
        <w:rPr>
          <w:rFonts w:ascii="Arial" w:eastAsia="Times New Roman" w:hAnsi="Arial" w:cs="Arial"/>
          <w:noProof/>
          <w:color w:val="000000"/>
          <w:sz w:val="23"/>
          <w:szCs w:val="23"/>
          <w:lang w:eastAsia="en-ZA"/>
        </w:rPr>
        <w:drawing>
          <wp:inline distT="0" distB="0" distL="0" distR="0" wp14:anchorId="0AC82B7B" wp14:editId="66316AD1">
            <wp:extent cx="1485900" cy="861822"/>
            <wp:effectExtent l="0" t="0" r="0" b="0"/>
            <wp:docPr id="1" name="Picture 1" descr="https://agfstorage.blob.core.windows.net/misc/FP_com/2020/07/14/C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0/07/14/CGA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7974" cy="868825"/>
                    </a:xfrm>
                    <a:prstGeom prst="rect">
                      <a:avLst/>
                    </a:prstGeom>
                    <a:noFill/>
                    <a:ln>
                      <a:noFill/>
                    </a:ln>
                  </pic:spPr>
                </pic:pic>
              </a:graphicData>
            </a:graphic>
          </wp:inline>
        </w:drawing>
      </w:r>
      <w:r w:rsidRPr="00777D0D">
        <w:rPr>
          <w:rFonts w:ascii="Arial" w:eastAsia="Times New Roman" w:hAnsi="Arial" w:cs="Arial"/>
          <w:color w:val="000000"/>
          <w:sz w:val="23"/>
          <w:szCs w:val="23"/>
          <w:lang w:eastAsia="en-ZA"/>
        </w:rPr>
        <w:t>Every four years the Citrus Growers' Association recalculates the mandatory levy and, with the blessing of most of its 1,250 growers and 400 packhouses, an increase to the levy from 74c (0.04 euro) to R1,64 (0.086 euro) per 15kg export carton next year has been proposed.</w:t>
      </w:r>
    </w:p>
    <w:p w:rsidR="00777D0D" w:rsidRPr="00777D0D" w:rsidRDefault="00777D0D" w:rsidP="00777D0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7D0D">
        <w:rPr>
          <w:rFonts w:ascii="Arial" w:eastAsia="Times New Roman" w:hAnsi="Arial" w:cs="Arial"/>
          <w:color w:val="000000"/>
          <w:sz w:val="23"/>
          <w:szCs w:val="23"/>
          <w:lang w:eastAsia="en-ZA"/>
        </w:rPr>
        <w:t>This represents a 120% increase to the levy, with the largest increases towards research and technological development as well as towards transformation. The levy is expected to bring in R1 billion (52.64 million euros) over the coming four years to an industry that is very busily exporting more than 14</w:t>
      </w:r>
      <w:r>
        <w:rPr>
          <w:rFonts w:ascii="Arial" w:eastAsia="Times New Roman" w:hAnsi="Arial" w:cs="Arial"/>
          <w:color w:val="000000"/>
          <w:sz w:val="23"/>
          <w:szCs w:val="23"/>
          <w:lang w:eastAsia="en-ZA"/>
        </w:rPr>
        <w:t>0 million cartons this season, </w:t>
      </w:r>
      <w:r w:rsidRPr="00777D0D">
        <w:rPr>
          <w:rFonts w:ascii="Arial" w:eastAsia="Times New Roman" w:hAnsi="Arial" w:cs="Arial"/>
          <w:color w:val="000000"/>
          <w:sz w:val="23"/>
          <w:szCs w:val="23"/>
          <w:lang w:eastAsia="en-ZA"/>
        </w:rPr>
        <w:t>an expected 13% up over last year.</w:t>
      </w:r>
    </w:p>
    <w:p w:rsidR="00777D0D" w:rsidRPr="00777D0D" w:rsidRDefault="00777D0D" w:rsidP="00777D0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7D0D">
        <w:rPr>
          <w:rFonts w:ascii="Arial" w:eastAsia="Times New Roman" w:hAnsi="Arial" w:cs="Arial"/>
          <w:b/>
          <w:bCs/>
          <w:color w:val="000000"/>
          <w:sz w:val="23"/>
          <w:szCs w:val="23"/>
          <w:lang w:eastAsia="en-ZA"/>
        </w:rPr>
        <w:t>Two-thirds of the proposed levy for R&amp;D</w:t>
      </w:r>
      <w:r w:rsidRPr="00777D0D">
        <w:rPr>
          <w:rFonts w:ascii="Arial" w:eastAsia="Times New Roman" w:hAnsi="Arial" w:cs="Arial"/>
          <w:b/>
          <w:bCs/>
          <w:color w:val="000000"/>
          <w:sz w:val="23"/>
          <w:szCs w:val="23"/>
          <w:lang w:eastAsia="en-ZA"/>
        </w:rPr>
        <w:br/>
      </w:r>
      <w:r w:rsidRPr="00777D0D">
        <w:rPr>
          <w:rFonts w:ascii="Arial" w:eastAsia="Times New Roman" w:hAnsi="Arial" w:cs="Arial"/>
          <w:color w:val="000000"/>
          <w:sz w:val="23"/>
          <w:szCs w:val="23"/>
          <w:lang w:eastAsia="en-ZA"/>
        </w:rPr>
        <w:t>Research and technological development will, if the levy proposal is approved by the Minister of Agriculture, receive the bulk of the increase – rising from R55 million (2.8 million euro) to R150 million (7.89 million euros).</w:t>
      </w:r>
    </w:p>
    <w:p w:rsidR="00777D0D" w:rsidRPr="00777D0D" w:rsidRDefault="00777D0D" w:rsidP="00777D0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7D0D">
        <w:rPr>
          <w:rFonts w:ascii="Arial" w:eastAsia="Times New Roman" w:hAnsi="Arial" w:cs="Arial"/>
          <w:color w:val="000000"/>
          <w:sz w:val="23"/>
          <w:szCs w:val="23"/>
          <w:lang w:eastAsia="en-ZA"/>
        </w:rPr>
        <w:t>"There was mounting evidence that industry investment in research was insufficient to shield the industry from future challenges," says Justin Chadwick, CEO of the Citrus Growers' Association.</w:t>
      </w:r>
    </w:p>
    <w:p w:rsidR="00777D0D" w:rsidRPr="00777D0D" w:rsidRDefault="00777D0D" w:rsidP="00777D0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7D0D">
        <w:rPr>
          <w:rFonts w:ascii="Arial" w:eastAsia="Times New Roman" w:hAnsi="Arial" w:cs="Arial"/>
          <w:color w:val="000000"/>
          <w:sz w:val="23"/>
          <w:szCs w:val="23"/>
          <w:lang w:eastAsia="en-ZA"/>
        </w:rPr>
        <w:t>The higher levy is an investment in the industry's future competitiveness and sustainability which will, as the CGA well recognises, heavily hinge on its ability to become more economically and demographically inclusive.</w:t>
      </w:r>
    </w:p>
    <w:p w:rsidR="00777D0D" w:rsidRPr="00777D0D" w:rsidRDefault="00777D0D" w:rsidP="00777D0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7D0D">
        <w:rPr>
          <w:rFonts w:ascii="Arial" w:eastAsia="Times New Roman" w:hAnsi="Arial" w:cs="Arial"/>
          <w:color w:val="000000"/>
          <w:sz w:val="23"/>
          <w:szCs w:val="23"/>
          <w:lang w:eastAsia="en-ZA"/>
        </w:rPr>
        <w:t xml:space="preserve">For that </w:t>
      </w:r>
      <w:proofErr w:type="gramStart"/>
      <w:r w:rsidRPr="00777D0D">
        <w:rPr>
          <w:rFonts w:ascii="Arial" w:eastAsia="Times New Roman" w:hAnsi="Arial" w:cs="Arial"/>
          <w:color w:val="000000"/>
          <w:sz w:val="23"/>
          <w:szCs w:val="23"/>
          <w:lang w:eastAsia="en-ZA"/>
        </w:rPr>
        <w:t>reason</w:t>
      </w:r>
      <w:proofErr w:type="gramEnd"/>
      <w:r w:rsidRPr="00777D0D">
        <w:rPr>
          <w:rFonts w:ascii="Arial" w:eastAsia="Times New Roman" w:hAnsi="Arial" w:cs="Arial"/>
          <w:color w:val="000000"/>
          <w:sz w:val="23"/>
          <w:szCs w:val="23"/>
          <w:lang w:eastAsia="en-ZA"/>
        </w:rPr>
        <w:t xml:space="preserve"> the second largest item of expenditure remains industry transformation. Its share will increase from R15 million (790,000 euros) to R45 million (2.36 million euros).</w:t>
      </w:r>
    </w:p>
    <w:p w:rsidR="00777D0D" w:rsidRPr="00777D0D" w:rsidRDefault="00777D0D" w:rsidP="00777D0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bookmarkStart w:id="0" w:name="_GoBack"/>
      <w:r w:rsidRPr="00777D0D">
        <w:rPr>
          <w:rFonts w:ascii="Arial" w:eastAsia="Times New Roman" w:hAnsi="Arial" w:cs="Arial"/>
          <w:noProof/>
          <w:color w:val="000000"/>
          <w:sz w:val="23"/>
          <w:szCs w:val="23"/>
          <w:lang w:eastAsia="en-ZA"/>
        </w:rPr>
        <w:drawing>
          <wp:inline distT="0" distB="0" distL="0" distR="0" wp14:anchorId="3C38C535" wp14:editId="5383ABA8">
            <wp:extent cx="3025443" cy="1790700"/>
            <wp:effectExtent l="0" t="0" r="3810" b="0"/>
            <wp:docPr id="2" name="Picture 2" descr="https://agfstorage.blob.core.windows.net/misc/FP_com/2020/07/14/Katrivier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0/07/14/Katriviero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2980" cy="1801080"/>
                    </a:xfrm>
                    <a:prstGeom prst="rect">
                      <a:avLst/>
                    </a:prstGeom>
                    <a:noFill/>
                    <a:ln>
                      <a:noFill/>
                    </a:ln>
                  </pic:spPr>
                </pic:pic>
              </a:graphicData>
            </a:graphic>
          </wp:inline>
        </w:drawing>
      </w:r>
      <w:bookmarkEnd w:id="0"/>
      <w:r w:rsidRPr="00777D0D">
        <w:rPr>
          <w:rFonts w:ascii="Arial" w:eastAsia="Times New Roman" w:hAnsi="Arial" w:cs="Arial"/>
          <w:i/>
          <w:iCs/>
          <w:color w:val="000000"/>
          <w:sz w:val="23"/>
          <w:szCs w:val="23"/>
          <w:lang w:eastAsia="en-ZA"/>
        </w:rPr>
        <w:t>A fifth of the levy to go towards industry transformation</w:t>
      </w:r>
      <w:r w:rsidRPr="00777D0D">
        <w:rPr>
          <w:rFonts w:ascii="Arial" w:eastAsia="Times New Roman" w:hAnsi="Arial" w:cs="Arial"/>
          <w:color w:val="000000"/>
          <w:sz w:val="23"/>
          <w:szCs w:val="23"/>
          <w:lang w:eastAsia="en-ZA"/>
        </w:rPr>
        <w:t> </w:t>
      </w:r>
    </w:p>
    <w:p w:rsidR="00777D0D" w:rsidRPr="00777D0D" w:rsidRDefault="00777D0D" w:rsidP="00777D0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7D0D">
        <w:rPr>
          <w:rFonts w:ascii="Arial" w:eastAsia="Times New Roman" w:hAnsi="Arial" w:cs="Arial"/>
          <w:b/>
          <w:bCs/>
          <w:color w:val="000000"/>
          <w:sz w:val="23"/>
          <w:szCs w:val="23"/>
          <w:lang w:eastAsia="en-ZA"/>
        </w:rPr>
        <w:lastRenderedPageBreak/>
        <w:t>More agile &amp; aggressive market access approach needed</w:t>
      </w:r>
      <w:r w:rsidRPr="00777D0D">
        <w:rPr>
          <w:rFonts w:ascii="Arial" w:eastAsia="Times New Roman" w:hAnsi="Arial" w:cs="Arial"/>
          <w:b/>
          <w:bCs/>
          <w:color w:val="000000"/>
          <w:sz w:val="23"/>
          <w:szCs w:val="23"/>
          <w:lang w:eastAsia="en-ZA"/>
        </w:rPr>
        <w:br/>
      </w:r>
      <w:r w:rsidRPr="00777D0D">
        <w:rPr>
          <w:rFonts w:ascii="Arial" w:eastAsia="Times New Roman" w:hAnsi="Arial" w:cs="Arial"/>
          <w:color w:val="000000"/>
          <w:sz w:val="23"/>
          <w:szCs w:val="23"/>
          <w:lang w:eastAsia="en-ZA"/>
        </w:rPr>
        <w:t>The third largest share of the levy (8 to 10%) goes towards market access research and negotiations. Market research provides the government with the technical information needed to negotiate wider market access in the USA, China and India, or new access to the Philippines and Vietnam, among others.</w:t>
      </w:r>
    </w:p>
    <w:p w:rsidR="00777D0D" w:rsidRPr="00777D0D" w:rsidRDefault="00777D0D" w:rsidP="00777D0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7D0D">
        <w:rPr>
          <w:rFonts w:ascii="Arial" w:eastAsia="Times New Roman" w:hAnsi="Arial" w:cs="Arial"/>
          <w:color w:val="000000"/>
          <w:sz w:val="23"/>
          <w:szCs w:val="23"/>
          <w:lang w:eastAsia="en-ZA"/>
        </w:rPr>
        <w:t>"A strong Private Public Partnership (PPP) as envisioned in the Master Plan process will mean that government and industry will work together on a more agile and aggressive approach to accessing markets."</w:t>
      </w:r>
    </w:p>
    <w:p w:rsidR="00777D0D" w:rsidRPr="00777D0D" w:rsidRDefault="00777D0D" w:rsidP="00777D0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7D0D">
        <w:rPr>
          <w:rFonts w:ascii="Arial" w:eastAsia="Times New Roman" w:hAnsi="Arial" w:cs="Arial"/>
          <w:color w:val="000000"/>
          <w:sz w:val="23"/>
          <w:szCs w:val="23"/>
          <w:lang w:eastAsia="en-ZA"/>
        </w:rPr>
        <w:t>The slow pace of present negotiations will not be enough to keep pace with the growth of the industry, he notes, but through an increased investment in technical research the industry can have the necessary technical work done to fast-track market access negotiations; </w:t>
      </w:r>
    </w:p>
    <w:p w:rsidR="00777D0D" w:rsidRPr="00777D0D" w:rsidRDefault="00777D0D" w:rsidP="00777D0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77D0D">
        <w:rPr>
          <w:rFonts w:ascii="Arial" w:eastAsia="Times New Roman" w:hAnsi="Arial" w:cs="Arial"/>
          <w:color w:val="000000"/>
          <w:sz w:val="23"/>
          <w:szCs w:val="23"/>
          <w:lang w:eastAsia="en-ZA"/>
        </w:rPr>
        <w:t>"The new levy is an investment in the industry for the next fifty years - ensuring that the industry addresses all its challenges, and grasps all the opportunities," he says.</w:t>
      </w:r>
    </w:p>
    <w:p w:rsidR="00777D0D" w:rsidRPr="00777D0D" w:rsidRDefault="00777D0D" w:rsidP="00777D0D">
      <w:pPr>
        <w:spacing w:after="0" w:line="240" w:lineRule="auto"/>
        <w:rPr>
          <w:rFonts w:ascii="Times New Roman" w:eastAsia="Times New Roman" w:hAnsi="Times New Roman" w:cs="Times New Roman"/>
          <w:sz w:val="24"/>
          <w:szCs w:val="24"/>
          <w:lang w:eastAsia="en-ZA"/>
        </w:rPr>
      </w:pPr>
      <w:r w:rsidRPr="00777D0D">
        <w:rPr>
          <w:rFonts w:ascii="Arial" w:eastAsia="Times New Roman" w:hAnsi="Arial" w:cs="Arial"/>
          <w:color w:val="000000"/>
          <w:sz w:val="23"/>
          <w:szCs w:val="23"/>
          <w:lang w:eastAsia="en-ZA"/>
        </w:rPr>
        <w:t>Publication date: Tue 14 Jul 2020</w:t>
      </w:r>
      <w:r w:rsidRPr="00777D0D">
        <w:rPr>
          <w:rFonts w:ascii="Arial" w:eastAsia="Times New Roman" w:hAnsi="Arial" w:cs="Arial"/>
          <w:color w:val="000000"/>
          <w:sz w:val="23"/>
          <w:szCs w:val="23"/>
          <w:lang w:eastAsia="en-ZA"/>
        </w:rPr>
        <w:br/>
        <w:t>Author: </w:t>
      </w:r>
      <w:hyperlink r:id="rId6" w:history="1">
        <w:r w:rsidRPr="00777D0D">
          <w:rPr>
            <w:rFonts w:ascii="Arial" w:eastAsia="Times New Roman" w:hAnsi="Arial" w:cs="Arial"/>
            <w:i/>
            <w:iCs/>
            <w:color w:val="0000FF"/>
            <w:sz w:val="23"/>
            <w:szCs w:val="23"/>
            <w:u w:val="single"/>
            <w:lang w:eastAsia="en-ZA"/>
          </w:rPr>
          <w:t>Carolize Jansen</w:t>
        </w:r>
      </w:hyperlink>
      <w:r w:rsidRPr="00777D0D">
        <w:rPr>
          <w:rFonts w:ascii="Arial" w:eastAsia="Times New Roman" w:hAnsi="Arial" w:cs="Arial"/>
          <w:color w:val="000000"/>
          <w:sz w:val="23"/>
          <w:szCs w:val="23"/>
          <w:lang w:eastAsia="en-ZA"/>
        </w:rPr>
        <w:br/>
      </w:r>
      <w:r w:rsidRPr="00777D0D">
        <w:rPr>
          <w:rFonts w:ascii="Arial" w:eastAsia="Times New Roman" w:hAnsi="Arial" w:cs="Arial"/>
          <w:i/>
          <w:iCs/>
          <w:color w:val="000000"/>
          <w:sz w:val="23"/>
          <w:szCs w:val="23"/>
          <w:lang w:eastAsia="en-ZA"/>
        </w:rPr>
        <w:t>© </w:t>
      </w:r>
      <w:hyperlink r:id="rId7" w:history="1">
        <w:r w:rsidRPr="00777D0D">
          <w:rPr>
            <w:rFonts w:ascii="Arial" w:eastAsia="Times New Roman" w:hAnsi="Arial" w:cs="Arial"/>
            <w:i/>
            <w:iCs/>
            <w:color w:val="0000FF"/>
            <w:sz w:val="23"/>
            <w:szCs w:val="23"/>
            <w:u w:val="single"/>
            <w:lang w:eastAsia="en-ZA"/>
          </w:rPr>
          <w:t>FreshPlaza.com</w:t>
        </w:r>
      </w:hyperlink>
    </w:p>
    <w:p w:rsidR="00FB472F" w:rsidRDefault="00FB472F"/>
    <w:sectPr w:rsidR="00FB4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0D"/>
    <w:rsid w:val="00777D0D"/>
    <w:rsid w:val="00FB47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1FB7"/>
  <w15:chartTrackingRefBased/>
  <w15:docId w15:val="{96BFA6C3-BE37-4856-9F4C-DAED1901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9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reshplaz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ze@freshplaza.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2020-07-14T13:32:00Z</dcterms:created>
  <dcterms:modified xsi:type="dcterms:W3CDTF">2020-07-14T13:35:00Z</dcterms:modified>
</cp:coreProperties>
</file>